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63B82" w:rsidRDefault="00101471">
      <w:pPr>
        <w:ind w:left="709"/>
        <w:jc w:val="center"/>
        <w:rPr>
          <w:rFonts w:ascii="Noto Sans" w:eastAsia="Noto Sans" w:hAnsi="Noto Sans" w:cs="Noto Sans"/>
          <w:sz w:val="18"/>
          <w:szCs w:val="18"/>
        </w:rPr>
      </w:pPr>
      <w:proofErr w:type="gramStart"/>
      <w:r>
        <w:rPr>
          <w:rFonts w:ascii="Noto Sans" w:eastAsia="Noto Sans" w:hAnsi="Noto Sans" w:cs="Noto Sans"/>
          <w:sz w:val="18"/>
          <w:szCs w:val="18"/>
        </w:rPr>
        <w:t>,ll</w:t>
      </w:r>
      <w:proofErr w:type="gramEnd"/>
    </w:p>
    <w:p w14:paraId="00000002" w14:textId="77777777" w:rsidR="00763B82" w:rsidRDefault="00763B82">
      <w:pPr>
        <w:ind w:left="709"/>
        <w:jc w:val="center"/>
        <w:rPr>
          <w:rFonts w:ascii="Noto Sans" w:eastAsia="Noto Sans" w:hAnsi="Noto Sans" w:cs="Noto Sans"/>
          <w:sz w:val="18"/>
          <w:szCs w:val="18"/>
        </w:rPr>
      </w:pPr>
    </w:p>
    <w:p w14:paraId="00000003" w14:textId="77777777" w:rsidR="00763B82" w:rsidRDefault="00763B82">
      <w:pPr>
        <w:ind w:left="709"/>
        <w:jc w:val="center"/>
        <w:rPr>
          <w:rFonts w:ascii="Noto Sans" w:eastAsia="Noto Sans" w:hAnsi="Noto Sans" w:cs="Noto Sans"/>
          <w:sz w:val="18"/>
          <w:szCs w:val="18"/>
        </w:rPr>
      </w:pPr>
    </w:p>
    <w:p w14:paraId="00000004" w14:textId="77777777" w:rsidR="00763B82" w:rsidRDefault="00763B82">
      <w:pPr>
        <w:ind w:left="709"/>
        <w:jc w:val="center"/>
        <w:rPr>
          <w:rFonts w:ascii="Noto Sans" w:eastAsia="Noto Sans" w:hAnsi="Noto Sans" w:cs="Noto Sans"/>
          <w:sz w:val="18"/>
          <w:szCs w:val="18"/>
        </w:rPr>
      </w:pPr>
    </w:p>
    <w:p w14:paraId="00000005" w14:textId="77777777" w:rsidR="00763B82" w:rsidRDefault="00763B82">
      <w:pPr>
        <w:ind w:left="709"/>
        <w:jc w:val="center"/>
        <w:rPr>
          <w:rFonts w:ascii="Noto Sans" w:eastAsia="Noto Sans" w:hAnsi="Noto Sans" w:cs="Noto Sans"/>
          <w:sz w:val="18"/>
          <w:szCs w:val="18"/>
        </w:rPr>
      </w:pPr>
    </w:p>
    <w:p w14:paraId="00000006" w14:textId="77777777" w:rsidR="00763B82" w:rsidRDefault="00763B82">
      <w:pPr>
        <w:ind w:left="709"/>
        <w:jc w:val="center"/>
        <w:rPr>
          <w:rFonts w:ascii="Noto Sans" w:eastAsia="Noto Sans" w:hAnsi="Noto Sans" w:cs="Noto Sans"/>
          <w:sz w:val="18"/>
          <w:szCs w:val="18"/>
        </w:rPr>
      </w:pPr>
    </w:p>
    <w:p w14:paraId="00000007" w14:textId="77777777" w:rsidR="00763B82" w:rsidRDefault="00763B82">
      <w:pPr>
        <w:ind w:left="709"/>
        <w:jc w:val="center"/>
        <w:rPr>
          <w:rFonts w:ascii="Noto Sans" w:eastAsia="Noto Sans" w:hAnsi="Noto Sans" w:cs="Noto Sans"/>
          <w:sz w:val="18"/>
          <w:szCs w:val="18"/>
        </w:rPr>
      </w:pPr>
    </w:p>
    <w:p w14:paraId="00000008" w14:textId="77777777" w:rsidR="00763B82" w:rsidRDefault="00763B82">
      <w:pPr>
        <w:ind w:left="709"/>
        <w:jc w:val="center"/>
        <w:rPr>
          <w:rFonts w:ascii="Noto Sans" w:eastAsia="Noto Sans" w:hAnsi="Noto Sans" w:cs="Noto Sans"/>
          <w:sz w:val="18"/>
          <w:szCs w:val="18"/>
        </w:rPr>
      </w:pPr>
    </w:p>
    <w:p w14:paraId="00000009" w14:textId="77777777" w:rsidR="00763B82" w:rsidRDefault="00763B82">
      <w:pPr>
        <w:ind w:left="709"/>
        <w:jc w:val="center"/>
        <w:rPr>
          <w:rFonts w:ascii="Noto Sans" w:eastAsia="Noto Sans" w:hAnsi="Noto Sans" w:cs="Noto Sans"/>
          <w:sz w:val="18"/>
          <w:szCs w:val="18"/>
        </w:rPr>
      </w:pPr>
    </w:p>
    <w:p w14:paraId="0000000A" w14:textId="77777777" w:rsidR="00763B82" w:rsidRDefault="00763B82">
      <w:pPr>
        <w:ind w:left="709"/>
        <w:jc w:val="center"/>
        <w:rPr>
          <w:rFonts w:ascii="Noto Sans" w:eastAsia="Noto Sans" w:hAnsi="Noto Sans" w:cs="Noto Sans"/>
          <w:sz w:val="18"/>
          <w:szCs w:val="18"/>
        </w:rPr>
      </w:pPr>
    </w:p>
    <w:p w14:paraId="0000000B" w14:textId="77777777" w:rsidR="00763B82" w:rsidRDefault="00763B82">
      <w:pPr>
        <w:ind w:left="709"/>
        <w:jc w:val="center"/>
        <w:rPr>
          <w:rFonts w:ascii="Noto Sans" w:eastAsia="Noto Sans" w:hAnsi="Noto Sans" w:cs="Noto Sans"/>
          <w:sz w:val="18"/>
          <w:szCs w:val="18"/>
        </w:rPr>
      </w:pPr>
    </w:p>
    <w:p w14:paraId="0000000C" w14:textId="77777777" w:rsidR="00763B82" w:rsidRDefault="00763B82">
      <w:pPr>
        <w:ind w:left="709"/>
        <w:jc w:val="center"/>
        <w:rPr>
          <w:rFonts w:ascii="Noto Sans" w:eastAsia="Noto Sans" w:hAnsi="Noto Sans" w:cs="Noto Sans"/>
          <w:b/>
          <w:bCs/>
          <w:sz w:val="18"/>
          <w:szCs w:val="18"/>
        </w:rPr>
      </w:pPr>
    </w:p>
    <w:p w14:paraId="0000000D" w14:textId="77777777" w:rsidR="00763B82" w:rsidRDefault="00763B82">
      <w:pPr>
        <w:ind w:left="709"/>
        <w:jc w:val="center"/>
        <w:rPr>
          <w:rFonts w:ascii="Noto Sans" w:eastAsia="Noto Sans" w:hAnsi="Noto Sans" w:cs="Noto Sans"/>
          <w:sz w:val="18"/>
          <w:szCs w:val="18"/>
        </w:rPr>
      </w:pPr>
    </w:p>
    <w:p w14:paraId="0000000E" w14:textId="77777777" w:rsidR="00763B82" w:rsidRDefault="00763B82">
      <w:pPr>
        <w:ind w:left="709"/>
        <w:jc w:val="center"/>
        <w:rPr>
          <w:rFonts w:ascii="Noto Sans" w:eastAsia="Noto Sans" w:hAnsi="Noto Sans" w:cs="Noto Sans"/>
          <w:sz w:val="18"/>
          <w:szCs w:val="18"/>
        </w:rPr>
      </w:pPr>
    </w:p>
    <w:p w14:paraId="0000000F" w14:textId="77777777" w:rsidR="00763B82" w:rsidRDefault="00763B82">
      <w:pPr>
        <w:ind w:left="709"/>
        <w:jc w:val="center"/>
        <w:rPr>
          <w:rFonts w:ascii="Noto Sans" w:eastAsia="Noto Sans" w:hAnsi="Noto Sans" w:cs="Noto Sans"/>
          <w:sz w:val="18"/>
          <w:szCs w:val="18"/>
        </w:rPr>
      </w:pPr>
    </w:p>
    <w:p w14:paraId="00000010" w14:textId="77777777" w:rsidR="00763B82" w:rsidRDefault="00763B82">
      <w:pPr>
        <w:ind w:left="709"/>
        <w:jc w:val="center"/>
        <w:rPr>
          <w:rFonts w:ascii="Noto Sans" w:eastAsia="Noto Sans" w:hAnsi="Noto Sans" w:cs="Noto Sans"/>
          <w:sz w:val="18"/>
          <w:szCs w:val="18"/>
        </w:rPr>
      </w:pPr>
    </w:p>
    <w:tbl>
      <w:tblPr>
        <w:tblStyle w:val="afe"/>
        <w:tblW w:w="9754"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9754"/>
      </w:tblGrid>
      <w:tr w:rsidR="00763B82" w14:paraId="33271F7D" w14:textId="77777777">
        <w:tc>
          <w:tcPr>
            <w:tcW w:w="9754" w:type="dxa"/>
            <w:tcBorders>
              <w:bottom w:val="single" w:sz="4" w:space="0" w:color="000000"/>
            </w:tcBorders>
          </w:tcPr>
          <w:p w14:paraId="00000011" w14:textId="77777777" w:rsidR="00763B82" w:rsidRDefault="00101471">
            <w:pPr>
              <w:ind w:left="709"/>
              <w:jc w:val="right"/>
              <w:rPr>
                <w:rFonts w:ascii="Noto Sans" w:eastAsia="Noto Sans" w:hAnsi="Noto Sans" w:cs="Noto Sans"/>
                <w:b/>
                <w:bCs/>
                <w:sz w:val="56"/>
                <w:szCs w:val="56"/>
              </w:rPr>
            </w:pPr>
            <w:r>
              <w:rPr>
                <w:rFonts w:ascii="Noto Sans" w:eastAsia="Noto Sans" w:hAnsi="Noto Sans" w:cs="Noto Sans"/>
                <w:b/>
                <w:bCs/>
                <w:sz w:val="56"/>
                <w:szCs w:val="56"/>
              </w:rPr>
              <w:t>Adquisición de Insumos para Anatomía Patológica</w:t>
            </w:r>
          </w:p>
        </w:tc>
      </w:tr>
      <w:tr w:rsidR="00763B82" w14:paraId="7EEFCFC7" w14:textId="77777777">
        <w:tc>
          <w:tcPr>
            <w:tcW w:w="9754" w:type="dxa"/>
            <w:tcBorders>
              <w:top w:val="single" w:sz="4" w:space="0" w:color="000000"/>
            </w:tcBorders>
          </w:tcPr>
          <w:p w14:paraId="00000012" w14:textId="77777777" w:rsidR="00763B82" w:rsidRDefault="00101471">
            <w:pPr>
              <w:ind w:left="709"/>
              <w:jc w:val="right"/>
              <w:rPr>
                <w:rFonts w:ascii="Noto Sans" w:eastAsia="Noto Sans" w:hAnsi="Noto Sans" w:cs="Noto Sans"/>
                <w:b/>
                <w:bCs/>
                <w:sz w:val="56"/>
                <w:szCs w:val="56"/>
              </w:rPr>
            </w:pPr>
            <w:r>
              <w:rPr>
                <w:rFonts w:ascii="Noto Sans" w:eastAsia="Noto Sans" w:hAnsi="Noto Sans" w:cs="Noto Sans"/>
                <w:b/>
                <w:bCs/>
                <w:sz w:val="56"/>
                <w:szCs w:val="56"/>
              </w:rPr>
              <w:t>Anexo Técnico</w:t>
            </w:r>
          </w:p>
        </w:tc>
      </w:tr>
    </w:tbl>
    <w:p w14:paraId="00000013" w14:textId="77777777" w:rsidR="00763B82" w:rsidRDefault="00763B82">
      <w:pPr>
        <w:ind w:left="709"/>
        <w:jc w:val="center"/>
        <w:rPr>
          <w:rFonts w:ascii="Noto Sans" w:eastAsia="Noto Sans" w:hAnsi="Noto Sans" w:cs="Noto Sans"/>
          <w:sz w:val="18"/>
          <w:szCs w:val="18"/>
        </w:rPr>
      </w:pPr>
    </w:p>
    <w:p w14:paraId="00000014" w14:textId="77777777" w:rsidR="00763B82" w:rsidRDefault="00763B82">
      <w:pPr>
        <w:ind w:left="709"/>
        <w:jc w:val="center"/>
        <w:rPr>
          <w:rFonts w:ascii="Noto Sans" w:eastAsia="Noto Sans" w:hAnsi="Noto Sans" w:cs="Noto Sans"/>
          <w:sz w:val="18"/>
          <w:szCs w:val="18"/>
        </w:rPr>
      </w:pPr>
    </w:p>
    <w:p w14:paraId="00000015" w14:textId="77777777" w:rsidR="00763B82" w:rsidRDefault="00763B82">
      <w:pPr>
        <w:ind w:left="709"/>
        <w:jc w:val="center"/>
        <w:rPr>
          <w:rFonts w:ascii="Noto Sans" w:eastAsia="Noto Sans" w:hAnsi="Noto Sans" w:cs="Noto Sans"/>
          <w:sz w:val="18"/>
          <w:szCs w:val="18"/>
        </w:rPr>
      </w:pPr>
    </w:p>
    <w:p w14:paraId="00000016" w14:textId="77777777" w:rsidR="00763B82" w:rsidRDefault="00763B82">
      <w:pPr>
        <w:ind w:left="709"/>
        <w:jc w:val="center"/>
        <w:rPr>
          <w:rFonts w:ascii="Noto Sans" w:eastAsia="Noto Sans" w:hAnsi="Noto Sans" w:cs="Noto Sans"/>
          <w:sz w:val="18"/>
          <w:szCs w:val="18"/>
        </w:rPr>
      </w:pPr>
    </w:p>
    <w:p w14:paraId="00000017" w14:textId="77777777" w:rsidR="00763B82" w:rsidRDefault="00763B82">
      <w:pPr>
        <w:ind w:left="709"/>
        <w:jc w:val="center"/>
        <w:rPr>
          <w:rFonts w:ascii="Noto Sans" w:eastAsia="Noto Sans" w:hAnsi="Noto Sans" w:cs="Noto Sans"/>
          <w:sz w:val="18"/>
          <w:szCs w:val="18"/>
        </w:rPr>
      </w:pPr>
    </w:p>
    <w:p w14:paraId="00000018" w14:textId="77777777" w:rsidR="00763B82" w:rsidRDefault="00763B82">
      <w:pPr>
        <w:ind w:left="709"/>
        <w:jc w:val="center"/>
        <w:rPr>
          <w:rFonts w:ascii="Noto Sans" w:eastAsia="Noto Sans" w:hAnsi="Noto Sans" w:cs="Noto Sans"/>
          <w:sz w:val="18"/>
          <w:szCs w:val="18"/>
        </w:rPr>
      </w:pPr>
    </w:p>
    <w:p w14:paraId="00000019" w14:textId="77777777" w:rsidR="00763B82" w:rsidRDefault="00763B82">
      <w:pPr>
        <w:ind w:left="709"/>
        <w:jc w:val="center"/>
        <w:rPr>
          <w:rFonts w:ascii="Noto Sans" w:eastAsia="Noto Sans" w:hAnsi="Noto Sans" w:cs="Noto Sans"/>
          <w:sz w:val="18"/>
          <w:szCs w:val="18"/>
        </w:rPr>
      </w:pPr>
    </w:p>
    <w:p w14:paraId="0000001A" w14:textId="77777777" w:rsidR="00763B82" w:rsidRDefault="00763B82">
      <w:pPr>
        <w:ind w:left="709"/>
        <w:jc w:val="center"/>
        <w:rPr>
          <w:rFonts w:ascii="Noto Sans" w:eastAsia="Noto Sans" w:hAnsi="Noto Sans" w:cs="Noto Sans"/>
          <w:sz w:val="18"/>
          <w:szCs w:val="18"/>
        </w:rPr>
      </w:pPr>
    </w:p>
    <w:p w14:paraId="0000001B" w14:textId="77777777" w:rsidR="00763B82" w:rsidRDefault="00763B82">
      <w:pPr>
        <w:ind w:left="709"/>
        <w:jc w:val="center"/>
        <w:rPr>
          <w:rFonts w:ascii="Noto Sans" w:eastAsia="Noto Sans" w:hAnsi="Noto Sans" w:cs="Noto Sans"/>
          <w:sz w:val="18"/>
          <w:szCs w:val="18"/>
        </w:rPr>
      </w:pPr>
    </w:p>
    <w:p w14:paraId="0000001C" w14:textId="77777777" w:rsidR="00763B82" w:rsidRDefault="00763B82">
      <w:pPr>
        <w:ind w:left="709"/>
        <w:jc w:val="center"/>
        <w:rPr>
          <w:rFonts w:ascii="Noto Sans" w:eastAsia="Noto Sans" w:hAnsi="Noto Sans" w:cs="Noto Sans"/>
          <w:sz w:val="18"/>
          <w:szCs w:val="18"/>
        </w:rPr>
      </w:pPr>
    </w:p>
    <w:p w14:paraId="0000001D" w14:textId="77777777" w:rsidR="00763B82" w:rsidRDefault="00763B82">
      <w:pPr>
        <w:ind w:left="709"/>
        <w:jc w:val="center"/>
        <w:rPr>
          <w:rFonts w:ascii="Noto Sans" w:eastAsia="Noto Sans" w:hAnsi="Noto Sans" w:cs="Noto Sans"/>
          <w:sz w:val="18"/>
          <w:szCs w:val="18"/>
        </w:rPr>
      </w:pPr>
    </w:p>
    <w:p w14:paraId="0000001E" w14:textId="77777777" w:rsidR="00763B82" w:rsidRDefault="00763B82">
      <w:pPr>
        <w:ind w:left="709"/>
        <w:jc w:val="center"/>
        <w:rPr>
          <w:rFonts w:ascii="Noto Sans" w:eastAsia="Noto Sans" w:hAnsi="Noto Sans" w:cs="Noto Sans"/>
          <w:sz w:val="18"/>
          <w:szCs w:val="18"/>
        </w:rPr>
      </w:pPr>
    </w:p>
    <w:p w14:paraId="0000001F" w14:textId="77777777" w:rsidR="00763B82" w:rsidRDefault="00763B82">
      <w:pPr>
        <w:ind w:left="709"/>
        <w:jc w:val="center"/>
        <w:rPr>
          <w:rFonts w:ascii="Noto Sans" w:eastAsia="Noto Sans" w:hAnsi="Noto Sans" w:cs="Noto Sans"/>
          <w:sz w:val="18"/>
          <w:szCs w:val="18"/>
        </w:rPr>
      </w:pPr>
    </w:p>
    <w:p w14:paraId="00000020" w14:textId="77777777" w:rsidR="00763B82" w:rsidRDefault="00763B82">
      <w:pPr>
        <w:ind w:left="709"/>
        <w:jc w:val="center"/>
        <w:rPr>
          <w:rFonts w:ascii="Noto Sans" w:eastAsia="Noto Sans" w:hAnsi="Noto Sans" w:cs="Noto Sans"/>
          <w:sz w:val="18"/>
          <w:szCs w:val="18"/>
        </w:rPr>
      </w:pPr>
    </w:p>
    <w:p w14:paraId="00000021" w14:textId="77777777" w:rsidR="00763B82" w:rsidRDefault="00763B82">
      <w:pPr>
        <w:ind w:left="709"/>
        <w:jc w:val="center"/>
        <w:rPr>
          <w:rFonts w:ascii="Noto Sans" w:eastAsia="Noto Sans" w:hAnsi="Noto Sans" w:cs="Noto Sans"/>
          <w:sz w:val="18"/>
          <w:szCs w:val="18"/>
        </w:rPr>
      </w:pPr>
    </w:p>
    <w:p w14:paraId="00000022" w14:textId="77777777" w:rsidR="00763B82" w:rsidRDefault="00763B82">
      <w:pPr>
        <w:ind w:left="709"/>
        <w:jc w:val="center"/>
        <w:rPr>
          <w:rFonts w:ascii="Noto Sans" w:eastAsia="Noto Sans" w:hAnsi="Noto Sans" w:cs="Noto Sans"/>
          <w:sz w:val="18"/>
          <w:szCs w:val="18"/>
        </w:rPr>
      </w:pPr>
    </w:p>
    <w:p w14:paraId="00000023" w14:textId="77777777" w:rsidR="00763B82" w:rsidRDefault="00763B82">
      <w:pPr>
        <w:ind w:left="709"/>
        <w:jc w:val="center"/>
        <w:rPr>
          <w:rFonts w:ascii="Noto Sans" w:eastAsia="Noto Sans" w:hAnsi="Noto Sans" w:cs="Noto Sans"/>
          <w:sz w:val="18"/>
          <w:szCs w:val="18"/>
        </w:rPr>
      </w:pPr>
    </w:p>
    <w:p w14:paraId="00000024" w14:textId="77777777" w:rsidR="00763B82" w:rsidRDefault="00763B82">
      <w:pPr>
        <w:ind w:left="709"/>
        <w:jc w:val="center"/>
        <w:rPr>
          <w:rFonts w:ascii="Noto Sans" w:eastAsia="Noto Sans" w:hAnsi="Noto Sans" w:cs="Noto Sans"/>
          <w:sz w:val="18"/>
          <w:szCs w:val="18"/>
        </w:rPr>
      </w:pPr>
    </w:p>
    <w:p w14:paraId="00000025" w14:textId="77777777" w:rsidR="00763B82" w:rsidRDefault="00763B82">
      <w:pPr>
        <w:jc w:val="both"/>
        <w:rPr>
          <w:rFonts w:ascii="Noto Sans" w:eastAsia="Noto Sans" w:hAnsi="Noto Sans" w:cs="Noto Sans"/>
          <w:sz w:val="16"/>
          <w:szCs w:val="16"/>
        </w:rPr>
      </w:pPr>
    </w:p>
    <w:p w14:paraId="00000026" w14:textId="77777777" w:rsidR="00763B82" w:rsidRDefault="00763B82">
      <w:pPr>
        <w:ind w:left="709"/>
        <w:jc w:val="both"/>
        <w:rPr>
          <w:rFonts w:ascii="Noto Sans" w:eastAsia="Noto Sans" w:hAnsi="Noto Sans" w:cs="Noto Sans"/>
          <w:sz w:val="16"/>
          <w:szCs w:val="16"/>
        </w:rPr>
      </w:pPr>
    </w:p>
    <w:p w14:paraId="00000027" w14:textId="77777777" w:rsidR="00763B82" w:rsidRDefault="00763B82">
      <w:pPr>
        <w:ind w:left="709"/>
        <w:jc w:val="center"/>
        <w:rPr>
          <w:rFonts w:ascii="Noto Sans" w:eastAsia="Noto Sans" w:hAnsi="Noto Sans" w:cs="Noto Sans"/>
          <w:b/>
          <w:bCs/>
          <w:sz w:val="40"/>
          <w:szCs w:val="40"/>
        </w:rPr>
      </w:pPr>
    </w:p>
    <w:p w14:paraId="00000028" w14:textId="77777777" w:rsidR="00763B82" w:rsidRDefault="00763B82">
      <w:pPr>
        <w:rPr>
          <w:rFonts w:ascii="Noto Sans" w:eastAsia="Noto Sans" w:hAnsi="Noto Sans" w:cs="Noto Sans"/>
          <w:b/>
          <w:bCs/>
          <w:sz w:val="40"/>
          <w:szCs w:val="40"/>
        </w:rPr>
      </w:pPr>
    </w:p>
    <w:p w14:paraId="00000029" w14:textId="77777777" w:rsidR="00763B82" w:rsidRDefault="00763B82">
      <w:pPr>
        <w:rPr>
          <w:rFonts w:ascii="Noto Sans" w:eastAsia="Noto Sans" w:hAnsi="Noto Sans" w:cs="Noto Sans"/>
          <w:b/>
          <w:bCs/>
          <w:sz w:val="40"/>
          <w:szCs w:val="40"/>
        </w:rPr>
      </w:pPr>
    </w:p>
    <w:p w14:paraId="0000002A" w14:textId="77777777" w:rsidR="00763B82" w:rsidRDefault="00101471">
      <w:pPr>
        <w:jc w:val="center"/>
        <w:rPr>
          <w:rFonts w:ascii="Noto Sans" w:eastAsia="Noto Sans" w:hAnsi="Noto Sans" w:cs="Noto Sans"/>
          <w:sz w:val="44"/>
          <w:szCs w:val="44"/>
        </w:rPr>
      </w:pPr>
      <w:r>
        <w:rPr>
          <w:rFonts w:ascii="Noto Sans" w:eastAsia="Noto Sans" w:hAnsi="Noto Sans" w:cs="Noto Sans"/>
          <w:sz w:val="44"/>
          <w:szCs w:val="44"/>
        </w:rPr>
        <w:t>Introducción</w:t>
      </w:r>
    </w:p>
    <w:p w14:paraId="0000002B" w14:textId="77777777" w:rsidR="00763B82" w:rsidRDefault="00763B82">
      <w:pPr>
        <w:rPr>
          <w:rFonts w:ascii="Noto Sans" w:eastAsia="Noto Sans" w:hAnsi="Noto Sans" w:cs="Noto Sans"/>
          <w:sz w:val="20"/>
          <w:szCs w:val="20"/>
        </w:rPr>
      </w:pPr>
    </w:p>
    <w:p w14:paraId="0000002C" w14:textId="77777777" w:rsidR="00763B82" w:rsidRDefault="00763B82">
      <w:pPr>
        <w:rPr>
          <w:rFonts w:ascii="Noto Sans" w:eastAsia="Noto Sans" w:hAnsi="Noto Sans" w:cs="Noto Sans"/>
          <w:sz w:val="20"/>
          <w:szCs w:val="20"/>
        </w:rPr>
      </w:pPr>
    </w:p>
    <w:p w14:paraId="0000002D" w14:textId="77777777" w:rsidR="00763B82" w:rsidRDefault="00763B82">
      <w:pPr>
        <w:rPr>
          <w:rFonts w:ascii="Noto Sans" w:eastAsia="Noto Sans" w:hAnsi="Noto Sans" w:cs="Noto Sans"/>
          <w:sz w:val="20"/>
          <w:szCs w:val="20"/>
        </w:rPr>
      </w:pPr>
    </w:p>
    <w:p w14:paraId="0000002E"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De conformidad con lo establecido en el </w:t>
      </w:r>
      <w:r>
        <w:rPr>
          <w:rFonts w:ascii="Noto Sans" w:eastAsia="Noto Sans" w:hAnsi="Noto Sans" w:cs="Noto Sans"/>
          <w:color w:val="2F2F2F"/>
          <w:sz w:val="20"/>
          <w:szCs w:val="20"/>
        </w:rPr>
        <w:t xml:space="preserve">último párrafo del artículo 2 del </w:t>
      </w:r>
      <w:r>
        <w:rPr>
          <w:rFonts w:ascii="Noto Sans" w:eastAsia="Noto Sans" w:hAnsi="Noto Sans" w:cs="Noto Sans"/>
          <w:sz w:val="20"/>
          <w:szCs w:val="20"/>
        </w:rPr>
        <w:t xml:space="preserve">DECRETO por el que se crea el Organismo Público Descentralizado denominado Servicios de Salud del Instituto Mexicano del Seguro Social para el Bienestar (IMSS-BIENESTAR), publicado en el Diario Oficial de la Federación el 31 de agosto de 2022, en el que se establece </w:t>
      </w:r>
      <w:r>
        <w:rPr>
          <w:rFonts w:ascii="Noto Sans" w:eastAsia="Noto Sans" w:hAnsi="Noto Sans" w:cs="Noto Sans"/>
          <w:color w:val="2F2F2F"/>
          <w:sz w:val="20"/>
          <w:szCs w:val="20"/>
        </w:rPr>
        <w:t>que el IMSS-BIENESTAR brindará los servicios de salud a las personas sin afiliación a las instituciones de seguridad social, en aquellas entidades federativas con las que celebre convenios de coordinación para la transferencia de dichos servicios.</w:t>
      </w:r>
    </w:p>
    <w:p w14:paraId="0000002F" w14:textId="77777777" w:rsidR="00763B82" w:rsidRDefault="00763B82">
      <w:pPr>
        <w:jc w:val="both"/>
        <w:rPr>
          <w:rFonts w:ascii="Noto Sans" w:eastAsia="Noto Sans" w:hAnsi="Noto Sans" w:cs="Noto Sans"/>
          <w:sz w:val="20"/>
          <w:szCs w:val="20"/>
        </w:rPr>
      </w:pPr>
    </w:p>
    <w:p w14:paraId="00000030"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Bajo este contexto y en cumplimiento de lo dispuesto en el numeral 4.21.3 de las Políticas, Bases y Lineamientos en materia de Adquisiciones, Arrendamientos y Servicios de Servicios de Salud del Instituto Mexicano del Seguro Social para el Bienestar (POBALINES), se ha elaborado el presente Anexo Técnico, con la directriz de proveer un documento en el que se precisan las características técnicas que se requieren de los bienes o servicios objeto de la contratación, así como de contar con los mismos con oportunidad, que formará parte integrante del contrato para la prestación de los servicios y considerando, en todo momento, lo que al respecto establece el Estatuto Orgánico de Servicios de Salud del Instituto Mexicano del Seguro Social para el Bienestar (IMSS-Bienestar), publicado en el Diario Oficial de la Federación, el 13 de septiembre de 2023, con última modificación publicada en el Diario Oficial de la Federación, el 02 de abril del 2025, respecto a las áreas competentes para intervenir en su elaboración.</w:t>
      </w:r>
    </w:p>
    <w:p w14:paraId="00000031" w14:textId="77777777" w:rsidR="00763B82" w:rsidRDefault="00101471">
      <w:pPr>
        <w:ind w:left="709"/>
        <w:jc w:val="both"/>
        <w:rPr>
          <w:rFonts w:ascii="Noto Sans" w:eastAsia="Noto Sans" w:hAnsi="Noto Sans" w:cs="Noto Sans"/>
        </w:rPr>
      </w:pPr>
      <w:r>
        <w:br w:type="page"/>
      </w:r>
    </w:p>
    <w:p w14:paraId="00000032" w14:textId="77777777" w:rsidR="00763B82" w:rsidRDefault="00101471">
      <w:pPr>
        <w:jc w:val="center"/>
        <w:rPr>
          <w:rFonts w:ascii="Noto Sans" w:eastAsia="Noto Sans" w:hAnsi="Noto Sans" w:cs="Noto Sans"/>
          <w:sz w:val="20"/>
          <w:szCs w:val="20"/>
        </w:rPr>
      </w:pPr>
      <w:r>
        <w:rPr>
          <w:rFonts w:ascii="Noto Sans" w:eastAsia="Noto Sans" w:hAnsi="Noto Sans" w:cs="Noto Sans"/>
          <w:sz w:val="22"/>
          <w:szCs w:val="22"/>
        </w:rPr>
        <w:lastRenderedPageBreak/>
        <w:t>Glosario de términos</w:t>
      </w:r>
      <w:r>
        <w:rPr>
          <w:rFonts w:ascii="Noto Sans" w:eastAsia="Noto Sans" w:hAnsi="Noto Sans" w:cs="Noto Sans"/>
          <w:sz w:val="18"/>
          <w:szCs w:val="18"/>
        </w:rPr>
        <w:t xml:space="preserve"> </w:t>
      </w:r>
      <w:r>
        <w:rPr>
          <w:rFonts w:ascii="Noto Sans" w:eastAsia="Noto Sans" w:hAnsi="Noto Sans" w:cs="Noto Sans"/>
          <w:sz w:val="22"/>
          <w:szCs w:val="22"/>
        </w:rPr>
        <w:t>y definiciones</w:t>
      </w:r>
    </w:p>
    <w:p w14:paraId="00000033" w14:textId="77777777" w:rsidR="00763B82" w:rsidRDefault="00763B82">
      <w:pPr>
        <w:jc w:val="both"/>
        <w:rPr>
          <w:rFonts w:ascii="Noto Sans" w:eastAsia="Noto Sans" w:hAnsi="Noto Sans" w:cs="Noto Sans"/>
          <w:sz w:val="20"/>
          <w:szCs w:val="20"/>
        </w:rPr>
      </w:pPr>
    </w:p>
    <w:p w14:paraId="00000034"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Administrador del Contrato</w:t>
      </w:r>
      <w:r>
        <w:rPr>
          <w:rFonts w:ascii="Noto Sans" w:eastAsia="Noto Sans" w:hAnsi="Noto Sans" w:cs="Noto Sans"/>
          <w:i/>
          <w:iCs/>
          <w:sz w:val="20"/>
          <w:szCs w:val="20"/>
        </w:rPr>
        <w:t>:</w:t>
      </w:r>
      <w:r>
        <w:rPr>
          <w:rFonts w:ascii="Noto Sans" w:eastAsia="Noto Sans" w:hAnsi="Noto Sans" w:cs="Noto Sans"/>
          <w:sz w:val="20"/>
          <w:szCs w:val="20"/>
        </w:rPr>
        <w:t xml:space="preserve"> Persona servidora pública en quien recae la responsabilidad de dar seguimiento y verificar el cumplimiento de las obligaciones del licitante adjudicado establecidas en el contrato, así como determinar la aplicación y cálculo de penas convencionales y deductivas y.</w:t>
      </w:r>
      <w:r>
        <w:rPr>
          <w:rFonts w:ascii="Noto Sans" w:eastAsia="Noto Sans" w:hAnsi="Noto Sans" w:cs="Noto Sans"/>
        </w:rPr>
        <w:t xml:space="preserve"> </w:t>
      </w:r>
      <w:r>
        <w:rPr>
          <w:rFonts w:ascii="Noto Sans" w:eastAsia="Noto Sans" w:hAnsi="Noto Sans" w:cs="Noto Sans"/>
          <w:sz w:val="20"/>
          <w:szCs w:val="20"/>
        </w:rPr>
        <w:t xml:space="preserve">en su caso, solicitar al área competente, la </w:t>
      </w:r>
      <w:proofErr w:type="spellStart"/>
      <w:r>
        <w:rPr>
          <w:rFonts w:ascii="Noto Sans" w:eastAsia="Noto Sans" w:hAnsi="Noto Sans" w:cs="Noto Sans"/>
          <w:sz w:val="20"/>
          <w:szCs w:val="20"/>
        </w:rPr>
        <w:t>resicisión</w:t>
      </w:r>
      <w:proofErr w:type="spellEnd"/>
      <w:r>
        <w:rPr>
          <w:rFonts w:ascii="Noto Sans" w:eastAsia="Noto Sans" w:hAnsi="Noto Sans" w:cs="Noto Sans"/>
          <w:sz w:val="20"/>
          <w:szCs w:val="20"/>
        </w:rPr>
        <w:t xml:space="preserve"> del contrato, aportando los elementos conducentes;</w:t>
      </w:r>
    </w:p>
    <w:p w14:paraId="00000035" w14:textId="77777777" w:rsidR="00763B82" w:rsidRDefault="00763B82">
      <w:pPr>
        <w:jc w:val="both"/>
        <w:rPr>
          <w:rFonts w:ascii="Noto Sans" w:eastAsia="Noto Sans" w:hAnsi="Noto Sans" w:cs="Noto Sans"/>
          <w:sz w:val="20"/>
          <w:szCs w:val="20"/>
        </w:rPr>
      </w:pPr>
    </w:p>
    <w:p w14:paraId="00000036"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Área Contratante: Área del IMSS-BIENESTAR facultada para llevar a cabo los procedimientos de contratación para la adquisición o arrendamiento de bienes, así como para contratar la prestación de servicios.</w:t>
      </w:r>
      <w:r>
        <w:rPr>
          <w:rFonts w:ascii="Noto Sans" w:eastAsia="Noto Sans" w:hAnsi="Noto Sans" w:cs="Noto Sans"/>
        </w:rPr>
        <w:t xml:space="preserve"> </w:t>
      </w:r>
      <w:r>
        <w:rPr>
          <w:rFonts w:ascii="Noto Sans" w:eastAsia="Noto Sans" w:hAnsi="Noto Sans" w:cs="Noto Sans"/>
          <w:sz w:val="20"/>
          <w:szCs w:val="20"/>
        </w:rPr>
        <w:t>En el presente caso será la Coordinación de Recursos Materiales (CRM), a través de las Divisiones a su cargo en el ámbito de sus respectivas competencias, de conformidad con el artículo 39 Bis del Estatuto.</w:t>
      </w:r>
    </w:p>
    <w:p w14:paraId="00000037" w14:textId="77777777" w:rsidR="00763B82" w:rsidRDefault="00763B82">
      <w:pPr>
        <w:jc w:val="both"/>
        <w:rPr>
          <w:rFonts w:ascii="Noto Sans" w:eastAsia="Noto Sans" w:hAnsi="Noto Sans" w:cs="Noto Sans"/>
          <w:sz w:val="20"/>
          <w:szCs w:val="20"/>
        </w:rPr>
      </w:pPr>
    </w:p>
    <w:p w14:paraId="00000038"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Área Requirente: Área del IMSS-BIENESTAR que solicite o requiera formalmente la adquisición o arrendamiento de bienes o la prestación de servicios, o bien aquélla que los utilizará. </w:t>
      </w:r>
    </w:p>
    <w:p w14:paraId="00000039" w14:textId="77777777" w:rsidR="00763B82" w:rsidRDefault="00763B82">
      <w:pPr>
        <w:jc w:val="both"/>
        <w:rPr>
          <w:rFonts w:ascii="Noto Sans" w:eastAsia="Noto Sans" w:hAnsi="Noto Sans" w:cs="Noto Sans"/>
          <w:sz w:val="20"/>
          <w:szCs w:val="20"/>
        </w:rPr>
      </w:pPr>
    </w:p>
    <w:p w14:paraId="0000003A"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Área Técnica: Área del IMSS-BIENESTAR que elabora las especificaciones técnicas que se deberán incluir en el procedimiento de contratación, evalúa la propuesta técnica de las proposiciones y será responsable de responder en la junta de aclaraciones, las preguntas que sobre estos aspectos realicen los participantes; el Área técnica, podrá tener también el carácter de Área requirente. </w:t>
      </w:r>
    </w:p>
    <w:p w14:paraId="0000003B" w14:textId="77777777" w:rsidR="00763B82" w:rsidRDefault="00763B82">
      <w:pPr>
        <w:jc w:val="both"/>
        <w:rPr>
          <w:rFonts w:ascii="Noto Sans" w:eastAsia="Noto Sans" w:hAnsi="Noto Sans" w:cs="Noto Sans"/>
          <w:sz w:val="20"/>
          <w:szCs w:val="20"/>
        </w:rPr>
      </w:pPr>
    </w:p>
    <w:p w14:paraId="0000003C"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Compendio Nacional de Insumos para la Salud: Documento normativo que regula los insumos que se utilizan en las instituciones del Sistema Nacional de Salud. </w:t>
      </w:r>
    </w:p>
    <w:p w14:paraId="0000003D" w14:textId="77777777" w:rsidR="00763B82" w:rsidRDefault="00763B82">
      <w:pPr>
        <w:jc w:val="both"/>
        <w:rPr>
          <w:rFonts w:ascii="Noto Sans" w:eastAsia="Noto Sans" w:hAnsi="Noto Sans" w:cs="Noto Sans"/>
          <w:sz w:val="20"/>
          <w:szCs w:val="20"/>
        </w:rPr>
      </w:pPr>
    </w:p>
    <w:p w14:paraId="0000003E"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Compras o Contrataciones Consolidadas: Procedimiento jurídico administrativo mediante el cual se integran los requerimientos de varias unidades administrativas, dependencias o entidades para la adquisición o arrendamiento de bienes o la prestación de servicios de uso generalizado o sectorizado que requieran las dependencias y entidades de la Administración Pública Federal.</w:t>
      </w:r>
    </w:p>
    <w:p w14:paraId="0000003F" w14:textId="77777777" w:rsidR="00763B82" w:rsidRDefault="00763B82">
      <w:pPr>
        <w:jc w:val="both"/>
        <w:rPr>
          <w:rFonts w:ascii="Noto Sans" w:eastAsia="Noto Sans" w:hAnsi="Noto Sans" w:cs="Noto Sans"/>
          <w:sz w:val="20"/>
          <w:szCs w:val="20"/>
        </w:rPr>
      </w:pPr>
    </w:p>
    <w:p w14:paraId="00000040"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Consumible: Los materiales desechables necesarios para que el insumo realice sus funciones conforme a su intención de uso, que pierden sus propiedades o características de origen después de usarse y que son de consumo repetitivo. </w:t>
      </w:r>
    </w:p>
    <w:p w14:paraId="00000041" w14:textId="77777777" w:rsidR="00763B82" w:rsidRDefault="00763B82">
      <w:pPr>
        <w:jc w:val="both"/>
        <w:rPr>
          <w:rFonts w:ascii="Noto Sans" w:eastAsia="Noto Sans" w:hAnsi="Noto Sans" w:cs="Noto Sans"/>
          <w:sz w:val="20"/>
          <w:szCs w:val="20"/>
        </w:rPr>
      </w:pPr>
    </w:p>
    <w:p w14:paraId="00000042"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Contrato: El acuerdo de voluntades para crear o transferir derechos y obligaciones, y a través del cual se formaliza la adquisición o arrendamiento de bienes muebles o la prestación de servicios.</w:t>
      </w:r>
    </w:p>
    <w:p w14:paraId="00000043" w14:textId="77777777" w:rsidR="00763B82" w:rsidRDefault="00763B82">
      <w:pPr>
        <w:jc w:val="both"/>
        <w:rPr>
          <w:rFonts w:ascii="Noto Sans" w:eastAsia="Noto Sans" w:hAnsi="Noto Sans" w:cs="Noto Sans"/>
          <w:sz w:val="20"/>
          <w:szCs w:val="20"/>
        </w:rPr>
      </w:pPr>
    </w:p>
    <w:p w14:paraId="00000044"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Control de Calidad: Son las actividades en la etapa </w:t>
      </w:r>
      <w:proofErr w:type="spellStart"/>
      <w:r>
        <w:rPr>
          <w:rFonts w:ascii="Noto Sans" w:eastAsia="Noto Sans" w:hAnsi="Noto Sans" w:cs="Noto Sans"/>
          <w:sz w:val="20"/>
          <w:szCs w:val="20"/>
        </w:rPr>
        <w:t>pre-analítica</w:t>
      </w:r>
      <w:proofErr w:type="spellEnd"/>
      <w:r>
        <w:rPr>
          <w:rFonts w:ascii="Noto Sans" w:eastAsia="Noto Sans" w:hAnsi="Noto Sans" w:cs="Noto Sans"/>
          <w:sz w:val="20"/>
          <w:szCs w:val="20"/>
        </w:rPr>
        <w:t xml:space="preserve">, analítica y </w:t>
      </w:r>
      <w:proofErr w:type="spellStart"/>
      <w:r>
        <w:rPr>
          <w:rFonts w:ascii="Noto Sans" w:eastAsia="Noto Sans" w:hAnsi="Noto Sans" w:cs="Noto Sans"/>
          <w:sz w:val="20"/>
          <w:szCs w:val="20"/>
        </w:rPr>
        <w:t>post-analítica</w:t>
      </w:r>
      <w:proofErr w:type="spellEnd"/>
      <w:r>
        <w:rPr>
          <w:rFonts w:ascii="Noto Sans" w:eastAsia="Noto Sans" w:hAnsi="Noto Sans" w:cs="Noto Sans"/>
          <w:sz w:val="20"/>
          <w:szCs w:val="20"/>
        </w:rPr>
        <w:t xml:space="preserve"> y técnicas operativas, desarrolladas para cumplir con los requisitos de calidad establecidos por la normatividad.</w:t>
      </w:r>
    </w:p>
    <w:p w14:paraId="00000045" w14:textId="77777777" w:rsidR="00763B82" w:rsidRDefault="00763B82">
      <w:pPr>
        <w:jc w:val="both"/>
        <w:rPr>
          <w:rFonts w:ascii="Noto Sans" w:eastAsia="Noto Sans" w:hAnsi="Noto Sans" w:cs="Noto Sans"/>
          <w:sz w:val="20"/>
          <w:szCs w:val="20"/>
        </w:rPr>
      </w:pPr>
    </w:p>
    <w:p w14:paraId="00000046"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Convocatoria: Documento que establece las bases en que se desarrollará el procedimiento de contratación y en las cuales se describirán los requisitos de participación, como lo señala el artículo 40 de la LAASSP.</w:t>
      </w:r>
    </w:p>
    <w:p w14:paraId="00000047" w14:textId="77777777" w:rsidR="00763B82" w:rsidRDefault="00763B82">
      <w:pPr>
        <w:jc w:val="both"/>
        <w:rPr>
          <w:rFonts w:ascii="Noto Sans" w:eastAsia="Noto Sans" w:hAnsi="Noto Sans" w:cs="Noto Sans"/>
          <w:sz w:val="20"/>
          <w:szCs w:val="20"/>
        </w:rPr>
      </w:pPr>
    </w:p>
    <w:p w14:paraId="00000048"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Dispositivo médico: instrumento, aparato, utensilio, máquina, </w:t>
      </w:r>
      <w:r>
        <w:rPr>
          <w:rFonts w:ascii="Noto Sans" w:eastAsia="Noto Sans" w:hAnsi="Noto Sans" w:cs="Noto Sans"/>
          <w:i/>
          <w:iCs/>
          <w:sz w:val="20"/>
          <w:szCs w:val="20"/>
        </w:rPr>
        <w:t>software</w:t>
      </w:r>
      <w:r>
        <w:rPr>
          <w:rFonts w:ascii="Noto Sans" w:eastAsia="Noto Sans" w:hAnsi="Noto Sans" w:cs="Noto Sans"/>
          <w:sz w:val="20"/>
          <w:szCs w:val="20"/>
        </w:rPr>
        <w:t>, producto o material implantable, agente de diagnóstico, material, sustancia o producto similar, para ser empleado, solo o en combinación, directa o indirectamente en seres humanos.</w:t>
      </w:r>
    </w:p>
    <w:p w14:paraId="00000049" w14:textId="77777777" w:rsidR="00763B82" w:rsidRDefault="00763B82">
      <w:pPr>
        <w:jc w:val="both"/>
        <w:rPr>
          <w:rFonts w:ascii="Noto Sans" w:eastAsia="Noto Sans" w:hAnsi="Noto Sans" w:cs="Noto Sans"/>
          <w:sz w:val="20"/>
          <w:szCs w:val="20"/>
        </w:rPr>
      </w:pPr>
    </w:p>
    <w:p w14:paraId="0000004A"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Equipo de Cómputo: Equipo requerido para la correcta operación del sistema de información en cuanto a entradas, procesamientos y salidas de información, tanto electrónica como manual.</w:t>
      </w:r>
    </w:p>
    <w:p w14:paraId="0000004B" w14:textId="77777777" w:rsidR="00763B82" w:rsidRDefault="00763B82">
      <w:pPr>
        <w:jc w:val="both"/>
        <w:rPr>
          <w:rFonts w:ascii="Noto Sans" w:eastAsia="Noto Sans" w:hAnsi="Noto Sans" w:cs="Noto Sans"/>
          <w:sz w:val="20"/>
          <w:szCs w:val="20"/>
        </w:rPr>
      </w:pPr>
    </w:p>
    <w:p w14:paraId="0000004C"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Organismo o IMSS-BIENESTAR: Servicios de Salud del Instituto Mexicano del Seguro Social para el Bienestar.</w:t>
      </w:r>
    </w:p>
    <w:p w14:paraId="0000004D" w14:textId="77777777" w:rsidR="00763B82" w:rsidRDefault="00763B82">
      <w:pPr>
        <w:jc w:val="both"/>
        <w:rPr>
          <w:rFonts w:ascii="Noto Sans" w:eastAsia="Noto Sans" w:hAnsi="Noto Sans" w:cs="Noto Sans"/>
          <w:sz w:val="20"/>
          <w:szCs w:val="20"/>
        </w:rPr>
      </w:pPr>
    </w:p>
    <w:p w14:paraId="0000004E"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Investigación de Mercado: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0000004F" w14:textId="77777777" w:rsidR="00763B82" w:rsidRDefault="00763B82">
      <w:pPr>
        <w:jc w:val="both"/>
        <w:rPr>
          <w:rFonts w:ascii="Noto Sans" w:eastAsia="Noto Sans" w:hAnsi="Noto Sans" w:cs="Noto Sans"/>
          <w:sz w:val="20"/>
          <w:szCs w:val="20"/>
        </w:rPr>
      </w:pPr>
    </w:p>
    <w:p w14:paraId="00000050"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Licitante: Persona física o moral que participe en cualquier procedimiento de licitación pública o bien de invitación a cuando menos tres personas.</w:t>
      </w:r>
    </w:p>
    <w:p w14:paraId="00000051" w14:textId="77777777" w:rsidR="00763B82" w:rsidRDefault="00763B82">
      <w:pPr>
        <w:jc w:val="both"/>
        <w:rPr>
          <w:rFonts w:ascii="Noto Sans" w:eastAsia="Noto Sans" w:hAnsi="Noto Sans" w:cs="Noto Sans"/>
          <w:sz w:val="20"/>
          <w:szCs w:val="20"/>
        </w:rPr>
      </w:pPr>
    </w:p>
    <w:p w14:paraId="00000052"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Partida: La división o desglose de los bienes a adquirir o arrendar o de los servicios a contratar, contenidos en un procedimiento de contratación o en un contrato, para diferenciarlos unos de otros, clasificarlos o agruparlos.</w:t>
      </w:r>
    </w:p>
    <w:p w14:paraId="00000053" w14:textId="77777777" w:rsidR="00763B82" w:rsidRDefault="00763B82">
      <w:pPr>
        <w:jc w:val="both"/>
        <w:rPr>
          <w:rFonts w:ascii="Noto Sans" w:eastAsia="Noto Sans" w:hAnsi="Noto Sans" w:cs="Noto Sans"/>
          <w:sz w:val="20"/>
          <w:szCs w:val="20"/>
        </w:rPr>
      </w:pPr>
    </w:p>
    <w:p w14:paraId="00000054"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Proveedor: La persona física o moral que celebra contratos de adquisiciones, arrendamientos o servicios.</w:t>
      </w:r>
    </w:p>
    <w:p w14:paraId="00000055" w14:textId="77777777" w:rsidR="00763B82" w:rsidRDefault="00763B82">
      <w:pPr>
        <w:jc w:val="both"/>
        <w:rPr>
          <w:rFonts w:ascii="Noto Sans" w:eastAsia="Noto Sans" w:hAnsi="Noto Sans" w:cs="Noto Sans"/>
          <w:sz w:val="20"/>
          <w:szCs w:val="20"/>
        </w:rPr>
      </w:pPr>
    </w:p>
    <w:p w14:paraId="00000056"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Plataforma: Plataforma Digital de Contrataciones Públicas; sobre adquisiciones, arrendamientos y servicios a que se refiere el concepto contenido en la fracción XI del artículo 5, de la Ley de Adquisiciones, Arrendamientos y Servicios del Sector Público (LAASSP), </w:t>
      </w:r>
      <w:proofErr w:type="spellStart"/>
      <w:r>
        <w:rPr>
          <w:rFonts w:ascii="Noto Sans" w:eastAsia="Noto Sans" w:hAnsi="Noto Sans" w:cs="Noto Sans"/>
          <w:sz w:val="20"/>
          <w:szCs w:val="20"/>
        </w:rPr>
        <w:t>Compranet</w:t>
      </w:r>
      <w:proofErr w:type="spellEnd"/>
      <w:r>
        <w:rPr>
          <w:rFonts w:ascii="Noto Sans" w:eastAsia="Noto Sans" w:hAnsi="Noto Sans" w:cs="Noto Sans"/>
          <w:sz w:val="20"/>
          <w:szCs w:val="20"/>
        </w:rPr>
        <w:t xml:space="preserve">, después del 15 de abril de 2025 </w:t>
      </w:r>
      <w:proofErr w:type="spellStart"/>
      <w:r>
        <w:rPr>
          <w:rFonts w:ascii="Noto Sans" w:eastAsia="Noto Sans" w:hAnsi="Noto Sans" w:cs="Noto Sans"/>
          <w:sz w:val="20"/>
          <w:szCs w:val="20"/>
        </w:rPr>
        <w:t>ComprasMX</w:t>
      </w:r>
      <w:proofErr w:type="spellEnd"/>
      <w:r>
        <w:rPr>
          <w:rFonts w:ascii="Noto Sans" w:eastAsia="Noto Sans" w:hAnsi="Noto Sans" w:cs="Noto Sans"/>
          <w:sz w:val="20"/>
          <w:szCs w:val="20"/>
        </w:rPr>
        <w:t>.</w:t>
      </w:r>
    </w:p>
    <w:p w14:paraId="00000057" w14:textId="77777777" w:rsidR="00763B82" w:rsidRDefault="00763B82">
      <w:pPr>
        <w:jc w:val="both"/>
        <w:rPr>
          <w:rFonts w:ascii="Noto Sans" w:eastAsia="Noto Sans" w:hAnsi="Noto Sans" w:cs="Noto Sans"/>
          <w:sz w:val="20"/>
          <w:szCs w:val="20"/>
        </w:rPr>
      </w:pPr>
    </w:p>
    <w:p w14:paraId="00000058"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Reglamento: Reglamento de la Ley de Adquisiciones, Arrendamientos y Servicios del Sector Público.</w:t>
      </w:r>
    </w:p>
    <w:p w14:paraId="00000059"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 xml:space="preserve">Servicios Médicos Subrogados (SMS): Son aquellos servicios médicos prestados por organismos públicos o privados, a solicitud y bajo supervisión de IMSS-BIENESTAR, cuya contratación se formalice al amparo de la LAASSP. </w:t>
      </w:r>
    </w:p>
    <w:p w14:paraId="0000005A"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Servicios Subrogados: Son aquellos prestados por organismos públicos o privados, a solicitud y bajo supervisión de IMSS-BIENESTAR, cuya contratación se formalice al amparo de la LAASSP.</w:t>
      </w:r>
    </w:p>
    <w:p w14:paraId="0000005B" w14:textId="77777777" w:rsidR="00763B82" w:rsidRDefault="00763B82">
      <w:pPr>
        <w:jc w:val="both"/>
        <w:rPr>
          <w:rFonts w:ascii="Noto Sans" w:eastAsia="Noto Sans" w:hAnsi="Noto Sans" w:cs="Noto Sans"/>
          <w:sz w:val="20"/>
          <w:szCs w:val="20"/>
        </w:rPr>
      </w:pPr>
    </w:p>
    <w:p w14:paraId="0000005C"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Testigo Social: Persona física o moral que participa en el presente procedimiento de contratación, con derecho a voz, con objeto de que, al término de la licitación, emita testimonio público sobre el desarrollo de este.</w:t>
      </w:r>
    </w:p>
    <w:p w14:paraId="0000005D" w14:textId="77777777" w:rsidR="00763B82" w:rsidRDefault="00763B82">
      <w:pPr>
        <w:jc w:val="both"/>
        <w:rPr>
          <w:rFonts w:ascii="Noto Sans" w:eastAsia="Noto Sans" w:hAnsi="Noto Sans" w:cs="Noto Sans"/>
          <w:sz w:val="20"/>
          <w:szCs w:val="20"/>
        </w:rPr>
      </w:pPr>
    </w:p>
    <w:p w14:paraId="0000005E"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Unidad Compradora: Es el área de la Institución Pública u Organismo que ha sido registrada y autorizada por La Secretaría de Anticorrupción y Buen Gobierno, para realizar operaciones y llevar a cabo Procedimientos de Contratación.</w:t>
      </w:r>
    </w:p>
    <w:p w14:paraId="0000005F" w14:textId="77777777" w:rsidR="00763B82" w:rsidRDefault="00763B82">
      <w:pPr>
        <w:jc w:val="both"/>
        <w:rPr>
          <w:rFonts w:ascii="Noto Sans" w:eastAsia="Noto Sans" w:hAnsi="Noto Sans" w:cs="Noto Sans"/>
          <w:sz w:val="20"/>
          <w:szCs w:val="20"/>
        </w:rPr>
      </w:pPr>
    </w:p>
    <w:p w14:paraId="00000060" w14:textId="77777777" w:rsidR="00763B82" w:rsidRDefault="00101471">
      <w:pPr>
        <w:jc w:val="both"/>
        <w:rPr>
          <w:rFonts w:ascii="Noto Sans" w:eastAsia="Noto Sans" w:hAnsi="Noto Sans" w:cs="Noto Sans"/>
          <w:sz w:val="20"/>
          <w:szCs w:val="20"/>
          <w:highlight w:val="yellow"/>
        </w:rPr>
      </w:pPr>
      <w:r>
        <w:rPr>
          <w:rFonts w:ascii="Noto Sans" w:eastAsia="Noto Sans" w:hAnsi="Noto Sans" w:cs="Noto Sans"/>
          <w:sz w:val="20"/>
          <w:szCs w:val="20"/>
        </w:rPr>
        <w:lastRenderedPageBreak/>
        <w:t xml:space="preserve">Unidad Médica: Establecimiento físico que cuenta con los recursos materiales, humanos, tecnológicos y económicos, cuya complejidad es equivalente al nivel de operación y está destinado a proporcionar atención médica integral a la población. </w:t>
      </w:r>
    </w:p>
    <w:p w14:paraId="00000061" w14:textId="77777777" w:rsidR="00763B82" w:rsidRDefault="00763B82">
      <w:pPr>
        <w:rPr>
          <w:rFonts w:ascii="Noto Sans" w:eastAsia="Noto Sans" w:hAnsi="Noto Sans" w:cs="Noto Sans"/>
          <w:sz w:val="20"/>
          <w:szCs w:val="20"/>
          <w:highlight w:val="yellow"/>
        </w:rPr>
      </w:pPr>
    </w:p>
    <w:p w14:paraId="00000062" w14:textId="77777777" w:rsidR="00763B82" w:rsidRDefault="00763B82">
      <w:pPr>
        <w:rPr>
          <w:rFonts w:ascii="Noto Sans" w:eastAsia="Noto Sans" w:hAnsi="Noto Sans" w:cs="Noto Sans"/>
          <w:sz w:val="20"/>
          <w:szCs w:val="20"/>
          <w:highlight w:val="yellow"/>
        </w:rPr>
      </w:pPr>
    </w:p>
    <w:p w14:paraId="00000063"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Términos Abreviados</w:t>
      </w:r>
    </w:p>
    <w:p w14:paraId="00000064" w14:textId="77777777" w:rsidR="00763B82" w:rsidRDefault="00763B82">
      <w:pPr>
        <w:rPr>
          <w:rFonts w:ascii="Noto Sans" w:eastAsia="Noto Sans" w:hAnsi="Noto Sans" w:cs="Noto Sans"/>
          <w:sz w:val="20"/>
          <w:szCs w:val="20"/>
        </w:rPr>
      </w:pPr>
    </w:p>
    <w:p w14:paraId="00000065"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 xml:space="preserve">BPF: Buenas Prácticas de Fabricación. </w:t>
      </w:r>
    </w:p>
    <w:p w14:paraId="00000066"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COFEPRIS:</w:t>
      </w:r>
      <w:r>
        <w:rPr>
          <w:rFonts w:ascii="Noto Sans" w:eastAsia="Noto Sans" w:hAnsi="Noto Sans" w:cs="Noto Sans"/>
          <w:i/>
          <w:iCs/>
          <w:sz w:val="20"/>
          <w:szCs w:val="20"/>
        </w:rPr>
        <w:t xml:space="preserve"> </w:t>
      </w:r>
      <w:r>
        <w:rPr>
          <w:rFonts w:ascii="Noto Sans" w:eastAsia="Noto Sans" w:hAnsi="Noto Sans" w:cs="Noto Sans"/>
          <w:sz w:val="20"/>
          <w:szCs w:val="20"/>
        </w:rPr>
        <w:t>Comisión Federal para la Protección contra Riesgos Sanitarios.</w:t>
      </w:r>
    </w:p>
    <w:p w14:paraId="00000067"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CTI: Coordinación de Tecnologías de la Información.</w:t>
      </w:r>
    </w:p>
    <w:p w14:paraId="00000068" w14:textId="77777777" w:rsidR="00763B82" w:rsidRDefault="00101471">
      <w:pPr>
        <w:rPr>
          <w:rFonts w:ascii="Noto Sans" w:eastAsia="Noto Sans" w:hAnsi="Noto Sans" w:cs="Noto Sans"/>
          <w:sz w:val="20"/>
          <w:szCs w:val="20"/>
        </w:rPr>
      </w:pPr>
      <w:bookmarkStart w:id="0" w:name="_heading=h.hs93ev4jvr35" w:colFirst="0" w:colLast="0"/>
      <w:bookmarkEnd w:id="0"/>
      <w:r>
        <w:rPr>
          <w:rFonts w:ascii="Noto Sans" w:eastAsia="Noto Sans" w:hAnsi="Noto Sans" w:cs="Noto Sans"/>
          <w:sz w:val="20"/>
          <w:szCs w:val="20"/>
        </w:rPr>
        <w:t>CRM: Coordinación de Recursos Materiales.</w:t>
      </w:r>
    </w:p>
    <w:p w14:paraId="00000069"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CA: Coordinación de Adquisiciones.</w:t>
      </w:r>
    </w:p>
    <w:p w14:paraId="0000006A"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 xml:space="preserve">DOF: Diario Oficial de la Federación. </w:t>
      </w:r>
    </w:p>
    <w:p w14:paraId="0000006B" w14:textId="77777777" w:rsidR="00763B82" w:rsidRDefault="00101471">
      <w:pPr>
        <w:rPr>
          <w:rFonts w:ascii="Noto Sans" w:eastAsia="Noto Sans" w:hAnsi="Noto Sans" w:cs="Noto Sans"/>
          <w:sz w:val="20"/>
          <w:szCs w:val="20"/>
        </w:rPr>
      </w:pPr>
      <w:proofErr w:type="spellStart"/>
      <w:r>
        <w:rPr>
          <w:rFonts w:ascii="Noto Sans" w:eastAsia="Noto Sans" w:hAnsi="Noto Sans" w:cs="Noto Sans"/>
          <w:sz w:val="20"/>
          <w:szCs w:val="20"/>
        </w:rPr>
        <w:t>ema</w:t>
      </w:r>
      <w:proofErr w:type="spellEnd"/>
      <w:r>
        <w:rPr>
          <w:rFonts w:ascii="Noto Sans" w:eastAsia="Noto Sans" w:hAnsi="Noto Sans" w:cs="Noto Sans"/>
          <w:sz w:val="20"/>
          <w:szCs w:val="20"/>
        </w:rPr>
        <w:t>: Entidad Mexicana de Acreditación, A.C.</w:t>
      </w:r>
    </w:p>
    <w:p w14:paraId="0000006C"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IMSS-BIENESTAR: Servicios de Salud del Instituto Mexicano del Seguro Social para el Bienestar.</w:t>
      </w:r>
    </w:p>
    <w:p w14:paraId="0000006D"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 xml:space="preserve">I.V.A.: Impuesto al Valor Agregado. </w:t>
      </w:r>
    </w:p>
    <w:p w14:paraId="0000006E"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LAASSP: Ley de Adquisiciones, Arrendamientos y Servicios del Sector Público.</w:t>
      </w:r>
    </w:p>
    <w:p w14:paraId="0000006F"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LFPDPPP: Ley Federal de Protección de Datos Personales en Posesión de los Particulares.</w:t>
      </w:r>
    </w:p>
    <w:p w14:paraId="00000070"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NOM: Norma Oficial Mexicana.</w:t>
      </w:r>
    </w:p>
    <w:p w14:paraId="00000071"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OIC: Órgano Interno de Control.</w:t>
      </w:r>
    </w:p>
    <w:p w14:paraId="00000072"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 xml:space="preserve">RIS: Reglamento de Insumos para la Salud. </w:t>
      </w:r>
    </w:p>
    <w:p w14:paraId="00000073"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RLAASSP: Reglamento de la Ley de Adquisiciones, Arrendamientos y Servicios del Sector Público</w:t>
      </w:r>
    </w:p>
    <w:p w14:paraId="00000074"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SFP: Secretaría de la Función Pública.</w:t>
      </w:r>
    </w:p>
    <w:p w14:paraId="00000075"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SSA: Secretaría de Salud.</w:t>
      </w:r>
    </w:p>
    <w:p w14:paraId="00000076"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SMI: Sistema Médico Integral</w:t>
      </w:r>
    </w:p>
    <w:p w14:paraId="00000077"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SAT: Servicio de Administración Tributaria.</w:t>
      </w:r>
    </w:p>
    <w:p w14:paraId="00000078"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 xml:space="preserve">UAF: Unidad de Administración y Finanzas. </w:t>
      </w:r>
    </w:p>
    <w:p w14:paraId="00000079"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MAAGMAASSP: Manual Administrativo de Aplicación General en Materia de Adquisiciones, Arrendamientos y Servicios del Sector Público.</w:t>
      </w:r>
    </w:p>
    <w:p w14:paraId="0000007A"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MIPYMES: micro, pequeñas y medianas empresas.</w:t>
      </w:r>
    </w:p>
    <w:p w14:paraId="0000007B" w14:textId="77777777" w:rsidR="00763B82" w:rsidRDefault="00101471">
      <w:pPr>
        <w:keepNext/>
        <w:keepLines/>
        <w:rPr>
          <w:rFonts w:ascii="Noto Sans" w:eastAsia="Noto Sans" w:hAnsi="Noto Sans" w:cs="Noto Sans"/>
          <w:sz w:val="20"/>
          <w:szCs w:val="20"/>
        </w:rPr>
      </w:pPr>
      <w:r>
        <w:rPr>
          <w:rFonts w:ascii="Noto Sans" w:eastAsia="Noto Sans" w:hAnsi="Noto Sans" w:cs="Noto Sans"/>
          <w:sz w:val="20"/>
          <w:szCs w:val="20"/>
        </w:rPr>
        <w:t>POBALINES: Políticas, Bases y Lineamientos en Materia de Adquisiciones, Arrendamientos y Servicios de Servicios de Salud del Instituto Mexicano del Seguro Social para el Bienestar (IMSS-BIENESTAR).</w:t>
      </w:r>
    </w:p>
    <w:p w14:paraId="0000007C" w14:textId="77777777" w:rsidR="00763B82" w:rsidRDefault="00101471">
      <w:pPr>
        <w:rPr>
          <w:rFonts w:ascii="Noto Sans" w:eastAsia="Noto Sans" w:hAnsi="Noto Sans" w:cs="Noto Sans"/>
          <w:sz w:val="20"/>
          <w:szCs w:val="20"/>
        </w:rPr>
      </w:pPr>
      <w:r>
        <w:br w:type="page"/>
      </w:r>
    </w:p>
    <w:p w14:paraId="0000007D" w14:textId="77777777" w:rsidR="00763B82" w:rsidRDefault="00763B82">
      <w:pPr>
        <w:keepNext/>
        <w:keepLines/>
        <w:ind w:left="709"/>
        <w:jc w:val="center"/>
        <w:rPr>
          <w:rFonts w:ascii="Noto Sans" w:eastAsia="Noto Sans" w:hAnsi="Noto Sans" w:cs="Noto Sans"/>
          <w:sz w:val="20"/>
          <w:szCs w:val="20"/>
        </w:rPr>
      </w:pPr>
    </w:p>
    <w:p w14:paraId="0000007E" w14:textId="77777777" w:rsidR="00763B82" w:rsidRDefault="00101471">
      <w:pPr>
        <w:keepNext/>
        <w:keepLines/>
        <w:ind w:left="709"/>
        <w:jc w:val="center"/>
        <w:rPr>
          <w:rFonts w:ascii="Noto Sans" w:eastAsia="Noto Sans" w:hAnsi="Noto Sans" w:cs="Noto Sans"/>
          <w:sz w:val="20"/>
          <w:szCs w:val="20"/>
        </w:rPr>
      </w:pPr>
      <w:r>
        <w:rPr>
          <w:rFonts w:ascii="Noto Sans" w:eastAsia="Noto Sans" w:hAnsi="Noto Sans" w:cs="Noto Sans"/>
          <w:sz w:val="20"/>
          <w:szCs w:val="20"/>
        </w:rPr>
        <w:t>CONTENIDO</w:t>
      </w:r>
    </w:p>
    <w:sdt>
      <w:sdtPr>
        <w:id w:val="513183319"/>
        <w:docPartObj>
          <w:docPartGallery w:val="Table of Contents"/>
          <w:docPartUnique/>
        </w:docPartObj>
      </w:sdtPr>
      <w:sdtContent>
        <w:p w14:paraId="0000007F" w14:textId="77777777" w:rsidR="00763B82" w:rsidRDefault="00101471">
          <w:pPr>
            <w:tabs>
              <w:tab w:val="left" w:pos="1200"/>
              <w:tab w:val="right" w:pos="10070"/>
            </w:tabs>
            <w:spacing w:after="100"/>
            <w:ind w:left="709"/>
            <w:jc w:val="both"/>
            <w:rPr>
              <w:rFonts w:ascii="Noto Sans" w:eastAsia="Noto Sans" w:hAnsi="Noto Sans" w:cs="Noto Sans"/>
              <w:sz w:val="20"/>
              <w:szCs w:val="20"/>
            </w:rPr>
          </w:pPr>
          <w:r>
            <w:fldChar w:fldCharType="begin"/>
          </w:r>
          <w:r>
            <w:instrText xml:space="preserve"> TOC \h \u \z \t "Heading 1,1,Heading 2,2,Heading 3,3,"</w:instrText>
          </w:r>
          <w:r>
            <w:fldChar w:fldCharType="separate"/>
          </w:r>
          <w:r>
            <w:fldChar w:fldCharType="begin"/>
          </w:r>
          <w:r>
            <w:instrText xml:space="preserve"> HYPERLINK \l "_heading=h.30j0zll" </w:instrText>
          </w:r>
          <w:r>
            <w:fldChar w:fldCharType="separate"/>
          </w:r>
          <w:r>
            <w:rPr>
              <w:rFonts w:ascii="Noto Sans" w:eastAsia="Noto Sans" w:hAnsi="Noto Sans" w:cs="Noto Sans"/>
              <w:sz w:val="20"/>
              <w:szCs w:val="20"/>
            </w:rPr>
            <w:t>A)</w:t>
          </w:r>
          <w:r>
            <w:rPr>
              <w:rFonts w:ascii="Noto Sans" w:eastAsia="Noto Sans" w:hAnsi="Noto Sans" w:cs="Noto Sans"/>
              <w:sz w:val="20"/>
              <w:szCs w:val="20"/>
            </w:rPr>
            <w:tab/>
            <w:t>OBJETO DE LA CONTRATACIÓN.</w:t>
          </w:r>
          <w:r>
            <w:rPr>
              <w:rFonts w:ascii="Noto Sans" w:eastAsia="Noto Sans" w:hAnsi="Noto Sans" w:cs="Noto Sans"/>
              <w:sz w:val="20"/>
              <w:szCs w:val="20"/>
            </w:rPr>
            <w:tab/>
            <w:t>8</w:t>
          </w:r>
        </w:p>
        <w:p w14:paraId="00000080" w14:textId="77777777" w:rsidR="00763B82" w:rsidRDefault="00101471">
          <w:pPr>
            <w:tabs>
              <w:tab w:val="left" w:pos="1440"/>
              <w:tab w:val="right" w:pos="10070"/>
            </w:tabs>
            <w:spacing w:after="100"/>
            <w:ind w:left="709"/>
            <w:jc w:val="both"/>
            <w:rPr>
              <w:rFonts w:ascii="Noto Sans" w:eastAsia="Noto Sans" w:hAnsi="Noto Sans" w:cs="Noto Sans"/>
              <w:sz w:val="20"/>
              <w:szCs w:val="20"/>
            </w:rPr>
          </w:pPr>
          <w:r>
            <w:fldChar w:fldCharType="end"/>
          </w:r>
          <w:r>
            <w:fldChar w:fldCharType="begin"/>
          </w:r>
          <w:r>
            <w:instrText xml:space="preserve"> HYPERLINK \l "_heading=h.1fob9te" </w:instrText>
          </w:r>
          <w:r>
            <w:fldChar w:fldCharType="separate"/>
          </w:r>
          <w:r>
            <w:rPr>
              <w:rFonts w:ascii="Noto Sans" w:eastAsia="Noto Sans" w:hAnsi="Noto Sans" w:cs="Noto Sans"/>
              <w:sz w:val="20"/>
              <w:szCs w:val="20"/>
            </w:rPr>
            <w:t>B)</w:t>
          </w:r>
          <w:r>
            <w:rPr>
              <w:rFonts w:ascii="Noto Sans" w:eastAsia="Noto Sans" w:hAnsi="Noto Sans" w:cs="Noto Sans"/>
              <w:sz w:val="20"/>
              <w:szCs w:val="20"/>
            </w:rPr>
            <w:tab/>
            <w:t>VIGENCIA DEL CONTRATO Y FECHA PARA ENTREGA DE LOS BIENES A ADQUIRIR.</w:t>
          </w:r>
          <w:r>
            <w:rPr>
              <w:rFonts w:ascii="Noto Sans" w:eastAsia="Noto Sans" w:hAnsi="Noto Sans" w:cs="Noto Sans"/>
              <w:sz w:val="20"/>
              <w:szCs w:val="20"/>
            </w:rPr>
            <w:tab/>
            <w:t>8</w:t>
          </w:r>
        </w:p>
        <w:p w14:paraId="00000081" w14:textId="77777777" w:rsidR="00763B82" w:rsidRDefault="00101471">
          <w:pPr>
            <w:tabs>
              <w:tab w:val="right" w:pos="10070"/>
            </w:tabs>
            <w:spacing w:after="100"/>
            <w:ind w:left="709"/>
            <w:jc w:val="both"/>
            <w:rPr>
              <w:rFonts w:ascii="Noto Sans" w:eastAsia="Noto Sans" w:hAnsi="Noto Sans" w:cs="Noto Sans"/>
              <w:sz w:val="20"/>
              <w:szCs w:val="20"/>
            </w:rPr>
          </w:pPr>
          <w:r>
            <w:fldChar w:fldCharType="end"/>
          </w:r>
          <w:hyperlink w:anchor="_heading=h.3znysh7">
            <w:r>
              <w:rPr>
                <w:rFonts w:ascii="Noto Sans" w:eastAsia="Noto Sans" w:hAnsi="Noto Sans" w:cs="Noto Sans"/>
                <w:sz w:val="20"/>
                <w:szCs w:val="20"/>
              </w:rPr>
              <w:t>C) DESCRIPCIÓN AMPLIA Y DETALLADA DE LOS SERVICIOS SOLICITADOS, CARACTERÍSTICAS, ESPECIFICACIONES TÉCNICAS, UNIDAD DE MEDIDA Y CANTIDADES POR PARTIDA (CON MÍNIMOS Y MÁXIMOS ESTIMADOS).</w:t>
            </w:r>
          </w:hyperlink>
          <w:hyperlink w:anchor="_heading=h.3znysh7">
            <w:r>
              <w:rPr>
                <w:rFonts w:ascii="Noto Sans" w:eastAsia="Noto Sans" w:hAnsi="Noto Sans" w:cs="Noto Sans"/>
                <w:b/>
                <w:bCs/>
                <w:sz w:val="20"/>
                <w:szCs w:val="20"/>
              </w:rPr>
              <w:t xml:space="preserve"> </w:t>
            </w:r>
          </w:hyperlink>
          <w:hyperlink w:anchor="_heading=h.3znysh7">
            <w:r>
              <w:rPr>
                <w:rFonts w:ascii="Noto Sans" w:eastAsia="Noto Sans" w:hAnsi="Noto Sans" w:cs="Noto Sans"/>
                <w:sz w:val="20"/>
                <w:szCs w:val="20"/>
              </w:rPr>
              <w:t>EN TODO CASO, LOS BIENES Y SERVICIOS MATERIA DEL REQUERIMIENTO, DEBEN INCLUIR LA CLAVE CUCOP QUE LE CORRESPONDE.</w:t>
            </w:r>
            <w:r>
              <w:rPr>
                <w:rFonts w:ascii="Noto Sans" w:eastAsia="Noto Sans" w:hAnsi="Noto Sans" w:cs="Noto Sans"/>
                <w:sz w:val="20"/>
                <w:szCs w:val="20"/>
              </w:rPr>
              <w:tab/>
            </w:r>
          </w:hyperlink>
          <w:r>
            <w:rPr>
              <w:rFonts w:ascii="Noto Sans" w:eastAsia="Noto Sans" w:hAnsi="Noto Sans" w:cs="Noto Sans"/>
              <w:sz w:val="20"/>
              <w:szCs w:val="20"/>
            </w:rPr>
            <w:t>8</w:t>
          </w:r>
        </w:p>
        <w:p w14:paraId="00000082"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1t3h5sf">
            <w:r>
              <w:rPr>
                <w:rFonts w:ascii="Noto Sans" w:eastAsia="Noto Sans" w:hAnsi="Noto Sans" w:cs="Noto Sans"/>
                <w:sz w:val="20"/>
                <w:szCs w:val="20"/>
              </w:rPr>
              <w:t>D) PROCESO DE ENTREGA DE BIENES, DE INSTALACIÓN DE EQUIPOS O TODA ACTIVIDAD QUE SE REQUIERA REALIZAR PREVIO AL INICIO DEL CONTRATO QUE DEBERÁ REALIZAR EL LICITANTE ADJUDICADO ADJUDICADO;</w:t>
            </w:r>
          </w:hyperlink>
          <w:hyperlink w:anchor="_heading=h.1t3h5sf">
            <w:r>
              <w:rPr>
                <w:rFonts w:ascii="Noto Sans" w:eastAsia="Noto Sans" w:hAnsi="Noto Sans" w:cs="Noto Sans"/>
                <w:b/>
                <w:bCs/>
                <w:sz w:val="20"/>
                <w:szCs w:val="20"/>
              </w:rPr>
              <w:t> </w:t>
            </w:r>
          </w:hyperlink>
          <w:hyperlink w:anchor="_heading=h.1t3h5sf">
            <w:r>
              <w:rPr>
                <w:rFonts w:ascii="Noto Sans" w:eastAsia="Noto Sans" w:hAnsi="Noto Sans" w:cs="Noto Sans"/>
                <w:sz w:val="20"/>
                <w:szCs w:val="20"/>
              </w:rPr>
              <w:t>JUNTO CON LAS ACTIVIDADES CORRESPONDIENTES PARA EL LICITANTE ADJUDICADO SALIENTE, SIN QUE EN LA TRANSICIÓN SE VEA AFECTADO IMSS-BIENESTAR.</w:t>
            </w:r>
            <w:r>
              <w:rPr>
                <w:rFonts w:ascii="Noto Sans" w:eastAsia="Noto Sans" w:hAnsi="Noto Sans" w:cs="Noto Sans"/>
                <w:sz w:val="20"/>
                <w:szCs w:val="20"/>
              </w:rPr>
              <w:tab/>
              <w:t>1</w:t>
            </w:r>
          </w:hyperlink>
          <w:r>
            <w:rPr>
              <w:rFonts w:ascii="Noto Sans" w:eastAsia="Noto Sans" w:hAnsi="Noto Sans" w:cs="Noto Sans"/>
              <w:sz w:val="20"/>
              <w:szCs w:val="20"/>
            </w:rPr>
            <w:t>0</w:t>
          </w:r>
        </w:p>
        <w:p w14:paraId="00000083"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4d34og8">
            <w:r>
              <w:rPr>
                <w:rFonts w:ascii="Noto Sans" w:eastAsia="Noto Sans" w:hAnsi="Noto Sans" w:cs="Noto Sans"/>
                <w:sz w:val="20"/>
                <w:szCs w:val="20"/>
              </w:rPr>
              <w:t>E) LOS FORMATOS ANEXOS, MEDIANTE LOS CUALES SE REALIZARÁ LA ENTREGA-RECEPCIÓN, SEGUIMIENTO, VALIDACIÓN Y AQUELLAS FUNCIONES QUE SE CONSIDEREN NECESARIAS PARA LA CORRECTA ADMINISTRACIÓN DE LA ENTREGA DE BIENES.</w:t>
            </w:r>
            <w:r>
              <w:rPr>
                <w:rFonts w:ascii="Noto Sans" w:eastAsia="Noto Sans" w:hAnsi="Noto Sans" w:cs="Noto Sans"/>
                <w:sz w:val="20"/>
                <w:szCs w:val="20"/>
              </w:rPr>
              <w:tab/>
              <w:t>1</w:t>
            </w:r>
          </w:hyperlink>
          <w:r>
            <w:rPr>
              <w:rFonts w:ascii="Noto Sans" w:eastAsia="Noto Sans" w:hAnsi="Noto Sans" w:cs="Noto Sans"/>
              <w:sz w:val="20"/>
              <w:szCs w:val="20"/>
            </w:rPr>
            <w:t>0</w:t>
          </w:r>
        </w:p>
        <w:p w14:paraId="00000084"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44sinio">
            <w:r>
              <w:rPr>
                <w:rFonts w:ascii="Noto Sans" w:eastAsia="Noto Sans" w:hAnsi="Noto Sans" w:cs="Noto Sans"/>
                <w:sz w:val="20"/>
                <w:szCs w:val="20"/>
              </w:rPr>
              <w:t>F) EN LOS CASOS DONDE SE HAYA GENERADO INFORMACIÓN, ESTUDIOS, FORMATOS U OTROS, POR PARTE DEL LICITANTE ADJUDICADO QUE PERTENEZCAN A IMSS-BIENESTAR, SE DEBERÁ DETERMINAR A LOS RESPONSABLES Y LOS MEDIOS POR LOS QUE EL LICITANTE ADJUDICADO SALIENTE DEBERÁ HACER LA ENTREGA DE LOS MISMOS, EL PERÍODO DE ENTREGA, LAS CARACTERÍSTICAS Y ESPECIFICACIONES PARA LA MISMA.</w:t>
            </w:r>
            <w:r>
              <w:rPr>
                <w:rFonts w:ascii="Noto Sans" w:eastAsia="Noto Sans" w:hAnsi="Noto Sans" w:cs="Noto Sans"/>
                <w:sz w:val="20"/>
                <w:szCs w:val="20"/>
              </w:rPr>
              <w:tab/>
              <w:t>1</w:t>
            </w:r>
          </w:hyperlink>
          <w:r>
            <w:rPr>
              <w:rFonts w:ascii="Noto Sans" w:eastAsia="Noto Sans" w:hAnsi="Noto Sans" w:cs="Noto Sans"/>
              <w:sz w:val="20"/>
              <w:szCs w:val="20"/>
            </w:rPr>
            <w:t>0</w:t>
          </w:r>
        </w:p>
        <w:p w14:paraId="00000085"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2jxsxqh">
            <w:r>
              <w:rPr>
                <w:rFonts w:ascii="Noto Sans" w:eastAsia="Noto Sans" w:hAnsi="Noto Sans" w:cs="Noto Sans"/>
                <w:sz w:val="20"/>
                <w:szCs w:val="20"/>
              </w:rPr>
              <w:t>G) 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EL PROCEDIMIENTO QUE RESULTE APLICABLE.</w:t>
            </w:r>
          </w:hyperlink>
          <w:hyperlink w:anchor="_heading=h.2jxsxqh">
            <w:r>
              <w:rPr>
                <w:rFonts w:ascii="Noto Sans" w:eastAsia="Noto Sans" w:hAnsi="Noto Sans" w:cs="Noto Sans"/>
                <w:b/>
                <w:bCs/>
                <w:sz w:val="20"/>
                <w:szCs w:val="20"/>
              </w:rPr>
              <w:t> </w:t>
            </w:r>
          </w:hyperlink>
          <w:hyperlink w:anchor="_heading=h.2jxsxqh">
            <w:r>
              <w:rPr>
                <w:rFonts w:ascii="Noto Sans" w:eastAsia="Noto Sans" w:hAnsi="Noto Sans" w:cs="Noto Sans"/>
                <w:sz w:val="20"/>
                <w:szCs w:val="20"/>
              </w:rPr>
              <w:t xml:space="preserve"> DICHA COMPROBACIÓN SERÁ ELABORADA POR EL ÁREA TÉCNICA.</w:t>
            </w:r>
            <w:r>
              <w:rPr>
                <w:rFonts w:ascii="Noto Sans" w:eastAsia="Noto Sans" w:hAnsi="Noto Sans" w:cs="Noto Sans"/>
                <w:sz w:val="20"/>
                <w:szCs w:val="20"/>
              </w:rPr>
              <w:tab/>
              <w:t>1</w:t>
            </w:r>
          </w:hyperlink>
          <w:r>
            <w:rPr>
              <w:rFonts w:ascii="Noto Sans" w:eastAsia="Noto Sans" w:hAnsi="Noto Sans" w:cs="Noto Sans"/>
              <w:sz w:val="20"/>
              <w:szCs w:val="20"/>
            </w:rPr>
            <w:t>1</w:t>
          </w:r>
        </w:p>
        <w:p w14:paraId="00000086"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z337ya">
            <w:r>
              <w:rPr>
                <w:rFonts w:ascii="Noto Sans" w:eastAsia="Noto Sans" w:hAnsi="Noto Sans" w:cs="Noto Sans"/>
                <w:sz w:val="20"/>
                <w:szCs w:val="20"/>
              </w:rPr>
              <w:t>H) EN AQUELLOS CASOS EN QUE EL ÁREA REQUIRENTE MODIFIQUE LA ESPECIFICACIÓN TÉCNICA DE ALGÚN BIEN QUE NO SE ENCUENTRE REGULADO POR EL COMPENDIO NACIONAL DE INSUMOS PARA LA SALUD EXPEDIDO POR EL CONSEJO DE SALUBRIDAD GENERAL, RESPECTO DE LAS ESPECIFICACIONES ESTIPULADAS PARA ESE MISMO BIEN EN EL</w:t>
            </w:r>
          </w:hyperlink>
          <w:hyperlink w:anchor="_heading=h.z337ya">
            <w:r>
              <w:rPr>
                <w:rFonts w:ascii="Noto Sans" w:eastAsia="Noto Sans" w:hAnsi="Noto Sans" w:cs="Noto Sans"/>
                <w:b/>
                <w:bCs/>
                <w:sz w:val="20"/>
                <w:szCs w:val="20"/>
              </w:rPr>
              <w:t> </w:t>
            </w:r>
          </w:hyperlink>
          <w:hyperlink w:anchor="_heading=h.z337ya">
            <w:r>
              <w:rPr>
                <w:rFonts w:ascii="Noto Sans" w:eastAsia="Noto Sans" w:hAnsi="Noto Sans" w:cs="Noto Sans"/>
                <w:sz w:val="20"/>
                <w:szCs w:val="20"/>
              </w:rPr>
              <w:t>EJERCICIO ANTERIOR, DEBERÁ ACOMPAÑAR A SU REQUISICIÓN, UN DICTAMEN MEDIANTE EL CUAL EL ÁREA TÉCNICA ACREDITA QUE CON ELLO NO SE LIMITA LA LIBRE PARTICIPACIÓN, CONCURRENCIA Y COMPETENCIA ECONÓMICA. </w:t>
            </w:r>
            <w:r>
              <w:rPr>
                <w:rFonts w:ascii="Noto Sans" w:eastAsia="Noto Sans" w:hAnsi="Noto Sans" w:cs="Noto Sans"/>
                <w:sz w:val="20"/>
                <w:szCs w:val="20"/>
              </w:rPr>
              <w:tab/>
              <w:t>1</w:t>
            </w:r>
          </w:hyperlink>
          <w:r>
            <w:rPr>
              <w:rFonts w:ascii="Noto Sans" w:eastAsia="Noto Sans" w:hAnsi="Noto Sans" w:cs="Noto Sans"/>
              <w:sz w:val="20"/>
              <w:szCs w:val="20"/>
            </w:rPr>
            <w:t>2</w:t>
          </w:r>
        </w:p>
        <w:p w14:paraId="00000087"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3j2qqm3">
            <w:r>
              <w:rPr>
                <w:rFonts w:ascii="Noto Sans" w:eastAsia="Noto Sans" w:hAnsi="Noto Sans" w:cs="Noto Sans"/>
                <w:sz w:val="20"/>
                <w:szCs w:val="20"/>
              </w:rPr>
              <w:t xml:space="preserve">I) </w:t>
            </w:r>
          </w:hyperlink>
          <w:r>
            <w:rPr>
              <w:rFonts w:ascii="Noto Sans" w:eastAsia="Noto Sans" w:hAnsi="Noto Sans" w:cs="Noto Sans"/>
              <w:sz w:val="20"/>
              <w:szCs w:val="20"/>
            </w:rPr>
            <w:t>NORMAS: OFICIAL MEXICANA, ESTÁNDAR (ANTES MEXICANA), INTERNACIONAL, DE REFERENCIA O ESPECIFICACIÓN TÉCNICA, QUE RESULTE APLICABLE A LOS BIENES REQUERIDOS, SEÑALADO EN EL NUMERAL 4.25.2 DE LAS PRESENTES POBALINES Y, EN SU CASO, EN EL REGISTRO SANITARIO CORRESPONDIENTE.</w:t>
          </w:r>
          <w:r>
            <w:rPr>
              <w:rFonts w:ascii="Noto Sans" w:eastAsia="Noto Sans" w:hAnsi="Noto Sans" w:cs="Noto Sans"/>
              <w:sz w:val="20"/>
              <w:szCs w:val="20"/>
            </w:rPr>
            <w:tab/>
          </w:r>
          <w:r>
            <w:fldChar w:fldCharType="begin"/>
          </w:r>
          <w:r>
            <w:instrText xml:space="preserve"> PAGEREF _heading=h.3j2qqm3 \h </w:instrText>
          </w:r>
          <w:r>
            <w:fldChar w:fldCharType="separate"/>
          </w:r>
          <w:r>
            <w:rPr>
              <w:rFonts w:ascii="Noto Sans" w:eastAsia="Noto Sans" w:hAnsi="Noto Sans" w:cs="Noto Sans"/>
              <w:sz w:val="20"/>
              <w:szCs w:val="20"/>
            </w:rPr>
            <w:t>1</w:t>
          </w:r>
          <w:r>
            <w:fldChar w:fldCharType="end"/>
          </w:r>
          <w:r>
            <w:rPr>
              <w:rFonts w:ascii="Noto Sans" w:eastAsia="Noto Sans" w:hAnsi="Noto Sans" w:cs="Noto Sans"/>
              <w:sz w:val="20"/>
              <w:szCs w:val="20"/>
            </w:rPr>
            <w:t>2</w:t>
          </w:r>
        </w:p>
        <w:p w14:paraId="00000088" w14:textId="77777777" w:rsidR="00763B82" w:rsidRDefault="00101471">
          <w:pPr>
            <w:tabs>
              <w:tab w:val="right" w:pos="10070"/>
            </w:tabs>
            <w:spacing w:after="100"/>
            <w:ind w:left="709"/>
            <w:jc w:val="both"/>
            <w:rPr>
              <w:rFonts w:ascii="Noto Sans" w:eastAsia="Noto Sans" w:hAnsi="Noto Sans" w:cs="Noto Sans"/>
              <w:sz w:val="20"/>
              <w:szCs w:val="20"/>
            </w:rPr>
          </w:pPr>
          <w:hyperlink w:anchor="_heading=h.2xcytpi">
            <w:r>
              <w:rPr>
                <w:rFonts w:ascii="Noto Sans" w:eastAsia="Noto Sans" w:hAnsi="Noto Sans" w:cs="Noto Sans"/>
                <w:sz w:val="20"/>
                <w:szCs w:val="20"/>
              </w:rPr>
              <w:t>J) EL ANEXO TÉCNICO NO DEBERÁ CONTENER INFORMACIÓN RELATIVA A LA SUFICIENCIA PRESUPUESTARIA NI PATRIMONIAL, PRECIOS DE CONTRATACIÓN O AL TIPO DE PROCEDIMIENTO DE CONTRATACIÓN.</w:t>
            </w:r>
            <w:r>
              <w:rPr>
                <w:rFonts w:ascii="Noto Sans" w:eastAsia="Noto Sans" w:hAnsi="Noto Sans" w:cs="Noto Sans"/>
                <w:sz w:val="20"/>
                <w:szCs w:val="20"/>
              </w:rPr>
              <w:tab/>
            </w:r>
          </w:hyperlink>
          <w:r>
            <w:rPr>
              <w:rFonts w:ascii="Noto Sans" w:eastAsia="Noto Sans" w:hAnsi="Noto Sans" w:cs="Noto Sans"/>
              <w:sz w:val="20"/>
              <w:szCs w:val="20"/>
            </w:rPr>
            <w:t>13</w:t>
          </w:r>
        </w:p>
        <w:p w14:paraId="00000089" w14:textId="77777777" w:rsidR="00763B82" w:rsidRDefault="00101471">
          <w:pPr>
            <w:tabs>
              <w:tab w:val="right" w:pos="10070"/>
            </w:tabs>
            <w:spacing w:after="100"/>
            <w:ind w:left="709"/>
            <w:jc w:val="both"/>
            <w:rPr>
              <w:rFonts w:ascii="Noto Sans" w:eastAsia="Noto Sans" w:hAnsi="Noto Sans" w:cs="Noto Sans"/>
              <w:sz w:val="20"/>
              <w:szCs w:val="20"/>
            </w:rPr>
          </w:pPr>
          <w:hyperlink r:id="rId8" w:anchor="heading=h.1ci93xb">
            <w:r>
              <w:rPr>
                <w:rFonts w:ascii="Noto Sans" w:eastAsia="Noto Sans" w:hAnsi="Noto Sans" w:cs="Noto Sans"/>
                <w:sz w:val="20"/>
                <w:szCs w:val="20"/>
              </w:rPr>
              <w:t>K) ADMINISTRADORES DEL CONTRATO.</w:t>
            </w:r>
            <w:r>
              <w:rPr>
                <w:rFonts w:ascii="Noto Sans" w:eastAsia="Noto Sans" w:hAnsi="Noto Sans" w:cs="Noto Sans"/>
                <w:sz w:val="20"/>
                <w:szCs w:val="20"/>
              </w:rPr>
              <w:tab/>
            </w:r>
          </w:hyperlink>
          <w:r>
            <w:rPr>
              <w:rFonts w:ascii="Noto Sans" w:eastAsia="Noto Sans" w:hAnsi="Noto Sans" w:cs="Noto Sans"/>
              <w:sz w:val="20"/>
              <w:szCs w:val="20"/>
            </w:rPr>
            <w:t>13</w:t>
          </w:r>
        </w:p>
        <w:p w14:paraId="0000008A" w14:textId="77777777" w:rsidR="00763B82" w:rsidRDefault="00101471">
          <w:pPr>
            <w:tabs>
              <w:tab w:val="right" w:pos="10070"/>
            </w:tabs>
            <w:spacing w:after="100"/>
            <w:ind w:left="709"/>
            <w:jc w:val="both"/>
            <w:rPr>
              <w:rFonts w:ascii="Noto Sans" w:eastAsia="Noto Sans" w:hAnsi="Noto Sans" w:cs="Noto Sans"/>
              <w:sz w:val="20"/>
              <w:szCs w:val="20"/>
            </w:rPr>
          </w:pPr>
          <w:hyperlink r:id="rId9" w:anchor="heading=h.2bn6wsx">
            <w:r>
              <w:rPr>
                <w:rFonts w:ascii="Noto Sans" w:eastAsia="Noto Sans" w:hAnsi="Noto Sans" w:cs="Noto Sans"/>
                <w:sz w:val="20"/>
                <w:szCs w:val="20"/>
              </w:rPr>
              <w:t>L) TIPO DE CONTRATO.</w:t>
            </w:r>
            <w:r>
              <w:rPr>
                <w:rFonts w:ascii="Noto Sans" w:eastAsia="Noto Sans" w:hAnsi="Noto Sans" w:cs="Noto Sans"/>
                <w:sz w:val="20"/>
                <w:szCs w:val="20"/>
              </w:rPr>
              <w:tab/>
            </w:r>
          </w:hyperlink>
          <w:r>
            <w:rPr>
              <w:rFonts w:ascii="Noto Sans" w:eastAsia="Noto Sans" w:hAnsi="Noto Sans" w:cs="Noto Sans"/>
              <w:sz w:val="20"/>
              <w:szCs w:val="20"/>
            </w:rPr>
            <w:t>14</w:t>
          </w:r>
        </w:p>
        <w:p w14:paraId="0000008B" w14:textId="77777777" w:rsidR="00763B82" w:rsidRDefault="00101471">
          <w:pPr>
            <w:tabs>
              <w:tab w:val="right" w:pos="10070"/>
            </w:tabs>
            <w:spacing w:after="100"/>
            <w:ind w:left="709"/>
            <w:jc w:val="both"/>
            <w:rPr>
              <w:rFonts w:ascii="Noto Sans" w:eastAsia="Noto Sans" w:hAnsi="Noto Sans" w:cs="Noto Sans"/>
              <w:sz w:val="20"/>
              <w:szCs w:val="20"/>
            </w:rPr>
          </w:pPr>
          <w:hyperlink r:id="rId10" w:anchor="heading=h.qsh70q">
            <w:r>
              <w:rPr>
                <w:rFonts w:ascii="Noto Sans" w:eastAsia="Noto Sans" w:hAnsi="Noto Sans" w:cs="Noto Sans"/>
                <w:sz w:val="20"/>
                <w:szCs w:val="20"/>
              </w:rPr>
              <w:t>M) TIPO DE ABASTECIMIENTO.</w:t>
            </w:r>
            <w:r>
              <w:rPr>
                <w:rFonts w:ascii="Noto Sans" w:eastAsia="Noto Sans" w:hAnsi="Noto Sans" w:cs="Noto Sans"/>
                <w:sz w:val="20"/>
                <w:szCs w:val="20"/>
              </w:rPr>
              <w:tab/>
            </w:r>
          </w:hyperlink>
          <w:r>
            <w:rPr>
              <w:rFonts w:ascii="Noto Sans" w:eastAsia="Noto Sans" w:hAnsi="Noto Sans" w:cs="Noto Sans"/>
              <w:sz w:val="20"/>
              <w:szCs w:val="20"/>
            </w:rPr>
            <w:t>14</w:t>
          </w:r>
        </w:p>
        <w:p w14:paraId="0000008C" w14:textId="77777777" w:rsidR="00763B82" w:rsidRDefault="00101471">
          <w:pPr>
            <w:rPr>
              <w:rFonts w:ascii="Noto Sans" w:eastAsia="Noto Sans" w:hAnsi="Noto Sans" w:cs="Noto Sans"/>
              <w:sz w:val="20"/>
              <w:szCs w:val="20"/>
            </w:rPr>
          </w:pPr>
          <w:r>
            <w:fldChar w:fldCharType="end"/>
          </w:r>
        </w:p>
      </w:sdtContent>
    </w:sdt>
    <w:p w14:paraId="0000008D" w14:textId="77777777" w:rsidR="00763B82" w:rsidRDefault="00763B82">
      <w:pPr>
        <w:jc w:val="both"/>
        <w:rPr>
          <w:rFonts w:ascii="Noto Sans" w:eastAsia="Noto Sans" w:hAnsi="Noto Sans" w:cs="Noto Sans"/>
          <w:sz w:val="20"/>
          <w:szCs w:val="20"/>
        </w:rPr>
      </w:pPr>
    </w:p>
    <w:p w14:paraId="0000008E" w14:textId="77777777" w:rsidR="00763B82" w:rsidRDefault="00763B82">
      <w:pPr>
        <w:jc w:val="both"/>
        <w:rPr>
          <w:rFonts w:ascii="Noto Sans" w:eastAsia="Noto Sans" w:hAnsi="Noto Sans" w:cs="Noto Sans"/>
          <w:sz w:val="20"/>
          <w:szCs w:val="20"/>
        </w:rPr>
      </w:pPr>
    </w:p>
    <w:p w14:paraId="0000008F" w14:textId="77777777" w:rsidR="00763B82" w:rsidRDefault="00763B82">
      <w:pPr>
        <w:jc w:val="both"/>
        <w:rPr>
          <w:rFonts w:ascii="Noto Sans" w:eastAsia="Noto Sans" w:hAnsi="Noto Sans" w:cs="Noto Sans"/>
          <w:sz w:val="20"/>
          <w:szCs w:val="20"/>
        </w:rPr>
      </w:pPr>
    </w:p>
    <w:p w14:paraId="00000090" w14:textId="77777777" w:rsidR="00763B82" w:rsidRDefault="00763B82">
      <w:pPr>
        <w:jc w:val="both"/>
        <w:rPr>
          <w:rFonts w:ascii="Noto Sans" w:eastAsia="Noto Sans" w:hAnsi="Noto Sans" w:cs="Noto Sans"/>
          <w:sz w:val="20"/>
          <w:szCs w:val="20"/>
        </w:rPr>
      </w:pPr>
    </w:p>
    <w:p w14:paraId="00000091" w14:textId="77777777" w:rsidR="00763B82" w:rsidRDefault="00101471">
      <w:pPr>
        <w:ind w:left="709"/>
        <w:jc w:val="both"/>
        <w:rPr>
          <w:rFonts w:ascii="Noto Sans" w:eastAsia="Noto Sans" w:hAnsi="Noto Sans" w:cs="Noto Sans"/>
          <w:sz w:val="20"/>
          <w:szCs w:val="20"/>
        </w:rPr>
      </w:pPr>
      <w:r>
        <w:br w:type="page"/>
      </w:r>
    </w:p>
    <w:p w14:paraId="00000092" w14:textId="77777777" w:rsidR="00763B82" w:rsidRDefault="00101471">
      <w:pPr>
        <w:keepNext/>
        <w:keepLines/>
        <w:numPr>
          <w:ilvl w:val="0"/>
          <w:numId w:val="1"/>
        </w:numPr>
        <w:ind w:left="426"/>
        <w:jc w:val="both"/>
        <w:rPr>
          <w:rFonts w:ascii="Noto Sans" w:eastAsia="Noto Sans" w:hAnsi="Noto Sans" w:cs="Noto Sans"/>
          <w:b/>
          <w:bCs/>
          <w:sz w:val="20"/>
          <w:szCs w:val="20"/>
        </w:rPr>
      </w:pPr>
      <w:bookmarkStart w:id="1" w:name="_heading=h.30j0zll" w:colFirst="0" w:colLast="0"/>
      <w:bookmarkEnd w:id="1"/>
      <w:r>
        <w:rPr>
          <w:rFonts w:ascii="Noto Sans" w:eastAsia="Noto Sans" w:hAnsi="Noto Sans" w:cs="Noto Sans"/>
          <w:b/>
          <w:bCs/>
          <w:sz w:val="20"/>
          <w:szCs w:val="20"/>
        </w:rPr>
        <w:lastRenderedPageBreak/>
        <w:t>OBJETO DE LA CONTRATACIÓN. </w:t>
      </w:r>
    </w:p>
    <w:p w14:paraId="00000093" w14:textId="77777777" w:rsidR="00763B82" w:rsidRDefault="00763B82">
      <w:pPr>
        <w:jc w:val="both"/>
        <w:rPr>
          <w:rFonts w:ascii="Noto Sans" w:eastAsia="Noto Sans" w:hAnsi="Noto Sans" w:cs="Noto Sans"/>
          <w:sz w:val="20"/>
          <w:szCs w:val="20"/>
        </w:rPr>
      </w:pPr>
    </w:p>
    <w:p w14:paraId="00000094"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El Departamento de Anatomía Patológica del Hospital Regional de Alta Especialidad del Bajío requiere la adquisición de productos químicos básicos indispensables para la correcta realización de los diversos procesos técnicos que conforman el diagnóstico histopatológico, citológico e inmunohistoquímico.</w:t>
      </w:r>
    </w:p>
    <w:p w14:paraId="00000095" w14:textId="77777777" w:rsidR="00763B82" w:rsidRDefault="00763B82">
      <w:pPr>
        <w:jc w:val="both"/>
        <w:rPr>
          <w:rFonts w:ascii="Noto Sans" w:eastAsia="Noto Sans" w:hAnsi="Noto Sans" w:cs="Noto Sans"/>
          <w:sz w:val="20"/>
          <w:szCs w:val="20"/>
        </w:rPr>
      </w:pPr>
    </w:p>
    <w:p w14:paraId="00000096"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Estos insumos son fundamentales para el procesamiento, fijación, inclusión, coloración y conservación de los tejidos y muestras biológicas, permitiendo generar preparaciones microscópicas de calidad diagnóstica que sustenten los estudios realizados por el servicio.</w:t>
      </w:r>
    </w:p>
    <w:p w14:paraId="00000097" w14:textId="77777777" w:rsidR="00763B82" w:rsidRDefault="00763B82">
      <w:pPr>
        <w:jc w:val="both"/>
        <w:rPr>
          <w:rFonts w:ascii="Noto Sans" w:eastAsia="Noto Sans" w:hAnsi="Noto Sans" w:cs="Noto Sans"/>
          <w:sz w:val="20"/>
          <w:szCs w:val="20"/>
        </w:rPr>
      </w:pPr>
    </w:p>
    <w:p w14:paraId="00000098"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Contar de manera continua con estos productos garantiza la operatividad del laboratorio de anatomía patológica, el cual constituye un eje diagnóstico esencial en la atención médica integral del hospital, al proporcionar información morfológica precisa y oportuna que orienta el manejo clínico, terapéutico y pronóstico de los pacientes atendidos en las distintas especialidades.</w:t>
      </w:r>
    </w:p>
    <w:p w14:paraId="00000099" w14:textId="77777777" w:rsidR="00763B82" w:rsidRDefault="00763B82">
      <w:pPr>
        <w:jc w:val="both"/>
        <w:rPr>
          <w:rFonts w:ascii="Noto Sans" w:eastAsia="Noto Sans" w:hAnsi="Noto Sans" w:cs="Noto Sans"/>
          <w:sz w:val="20"/>
          <w:szCs w:val="20"/>
        </w:rPr>
      </w:pPr>
    </w:p>
    <w:p w14:paraId="0000009A"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La Adquisición de Insumos para Anatomía Patológica solicitados permitirá mantener la funcionalidad, calidad y continuidad de los servicios diagnósticos, contribuyendo directamente al cumplimiento de los objetivos institucionales de ofrecer atención médica de alta especialidad, segura, eficiente y centrada en el bienestar del paciente.</w:t>
      </w:r>
    </w:p>
    <w:p w14:paraId="0000009B" w14:textId="77777777" w:rsidR="00763B82" w:rsidRDefault="00763B82">
      <w:pPr>
        <w:jc w:val="both"/>
        <w:rPr>
          <w:rFonts w:ascii="Noto Sans" w:eastAsia="Noto Sans" w:hAnsi="Noto Sans" w:cs="Noto Sans"/>
          <w:sz w:val="20"/>
          <w:szCs w:val="20"/>
        </w:rPr>
      </w:pPr>
    </w:p>
    <w:p w14:paraId="0000009C" w14:textId="77777777" w:rsidR="00763B82" w:rsidRDefault="00101471">
      <w:pPr>
        <w:keepNext/>
        <w:keepLines/>
        <w:numPr>
          <w:ilvl w:val="0"/>
          <w:numId w:val="1"/>
        </w:numPr>
        <w:ind w:left="426"/>
        <w:jc w:val="both"/>
        <w:rPr>
          <w:rFonts w:ascii="Noto Sans" w:eastAsia="Noto Sans" w:hAnsi="Noto Sans" w:cs="Noto Sans"/>
          <w:b/>
          <w:bCs/>
          <w:sz w:val="20"/>
          <w:szCs w:val="20"/>
        </w:rPr>
      </w:pPr>
      <w:bookmarkStart w:id="2" w:name="_heading=h.1fob9te" w:colFirst="0" w:colLast="0"/>
      <w:bookmarkEnd w:id="2"/>
      <w:r>
        <w:rPr>
          <w:rFonts w:ascii="Noto Sans" w:eastAsia="Noto Sans" w:hAnsi="Noto Sans" w:cs="Noto Sans"/>
          <w:b/>
          <w:bCs/>
          <w:sz w:val="20"/>
          <w:szCs w:val="20"/>
        </w:rPr>
        <w:t>VIGENCIA DEL CONTRATO EN CASO DE PRESTACIÓN DE SERVICIOS O ARRENDAMIENTO DE BIENES O DE LA FECHA PARA ENTREGA DE LOS BIENES A ADQUIRIR. </w:t>
      </w:r>
    </w:p>
    <w:p w14:paraId="0000009D" w14:textId="77777777" w:rsidR="00763B82" w:rsidRDefault="00763B82">
      <w:pPr>
        <w:ind w:left="720"/>
        <w:jc w:val="both"/>
        <w:rPr>
          <w:rFonts w:ascii="Noto Sans" w:eastAsia="Noto Sans" w:hAnsi="Noto Sans" w:cs="Noto Sans"/>
          <w:sz w:val="20"/>
          <w:szCs w:val="20"/>
        </w:rPr>
      </w:pPr>
    </w:p>
    <w:p w14:paraId="0000009E"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La vigencia del contrato será a partir del día natural siguiente a la notificación de fallo y/o adjudicación y hasta el 31 de diciembre del año 2026.</w:t>
      </w:r>
    </w:p>
    <w:p w14:paraId="0000009F" w14:textId="77777777" w:rsidR="00763B82" w:rsidRDefault="00763B82">
      <w:pPr>
        <w:jc w:val="both"/>
        <w:rPr>
          <w:rFonts w:ascii="Noto Sans" w:eastAsia="Noto Sans" w:hAnsi="Noto Sans" w:cs="Noto Sans"/>
          <w:sz w:val="20"/>
          <w:szCs w:val="20"/>
        </w:rPr>
      </w:pPr>
    </w:p>
    <w:p w14:paraId="000000A0" w14:textId="77777777" w:rsidR="00763B82" w:rsidRDefault="00101471">
      <w:pPr>
        <w:keepNext/>
        <w:keepLines/>
        <w:jc w:val="both"/>
        <w:rPr>
          <w:rFonts w:ascii="Noto Sans" w:eastAsia="Noto Sans" w:hAnsi="Noto Sans" w:cs="Noto Sans"/>
          <w:b/>
          <w:bCs/>
          <w:sz w:val="20"/>
          <w:szCs w:val="20"/>
        </w:rPr>
      </w:pPr>
      <w:bookmarkStart w:id="3" w:name="_heading=h.3znysh7" w:colFirst="0" w:colLast="0"/>
      <w:bookmarkEnd w:id="3"/>
      <w:r>
        <w:rPr>
          <w:rFonts w:ascii="Noto Sans" w:eastAsia="Noto Sans" w:hAnsi="Noto Sans" w:cs="Noto Sans"/>
          <w:b/>
          <w:bCs/>
          <w:sz w:val="20"/>
          <w:szCs w:val="20"/>
        </w:rPr>
        <w:lastRenderedPageBreak/>
        <w:t xml:space="preserve">C) </w:t>
      </w:r>
      <w:hyperlink w:anchor="_heading=h.3znysh7">
        <w:r>
          <w:rPr>
            <w:rFonts w:ascii="Noto Sans" w:eastAsia="Noto Sans" w:hAnsi="Noto Sans" w:cs="Noto Sans"/>
            <w:b/>
            <w:bCs/>
            <w:sz w:val="20"/>
            <w:szCs w:val="20"/>
          </w:rPr>
          <w:t>DESCRIPCIÓN AMPLIA Y DETALLADA DE LOS SERVICIOS SOLICITADOS, CARACTERÍSTICAS, ESPECIFICACIONES TÉCNICAS, UNIDAD DE MEDIDA Y CANTIDADES POR PARTIDA (CON MÍNIMOS Y MÁXIMOS ESTIMADOS). EN TODO CASO, LOS BIENES Y SERVICIOS MATERIA DEL REQUERIMIENTO, DEBEN INCLUIR LA CLAVE CUCOP QUE LE CORRESPONDE.</w:t>
        </w:r>
      </w:hyperlink>
    </w:p>
    <w:p w14:paraId="000000A1" w14:textId="77777777" w:rsidR="00763B82" w:rsidRDefault="00763B82">
      <w:pPr>
        <w:keepNext/>
        <w:keepLines/>
        <w:jc w:val="both"/>
        <w:rPr>
          <w:rFonts w:ascii="Noto Sans" w:eastAsia="Noto Sans" w:hAnsi="Noto Sans" w:cs="Noto Sans"/>
          <w:b/>
          <w:bCs/>
          <w:sz w:val="20"/>
          <w:szCs w:val="20"/>
        </w:rPr>
      </w:pPr>
    </w:p>
    <w:tbl>
      <w:tblPr>
        <w:tblStyle w:val="aff"/>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00"/>
        <w:gridCol w:w="4395"/>
      </w:tblGrid>
      <w:tr w:rsidR="00763B82" w:rsidRPr="00F67160" w14:paraId="51030F89" w14:textId="77777777">
        <w:trPr>
          <w:trHeight w:val="461"/>
        </w:trPr>
        <w:tc>
          <w:tcPr>
            <w:tcW w:w="4500" w:type="dxa"/>
            <w:tcBorders>
              <w:top w:val="single" w:sz="6" w:space="0" w:color="000000"/>
              <w:left w:val="single" w:sz="6" w:space="0" w:color="000000"/>
              <w:bottom w:val="single" w:sz="6" w:space="0" w:color="000000"/>
              <w:right w:val="single" w:sz="6" w:space="0" w:color="000000"/>
            </w:tcBorders>
            <w:tcMar>
              <w:top w:w="-283" w:type="dxa"/>
              <w:left w:w="-283" w:type="dxa"/>
              <w:bottom w:w="-283" w:type="dxa"/>
              <w:right w:w="-283" w:type="dxa"/>
            </w:tcMar>
          </w:tcPr>
          <w:p w14:paraId="000000A2"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PARTIDA PRESUPUESTAL</w:t>
            </w:r>
          </w:p>
        </w:tc>
        <w:tc>
          <w:tcPr>
            <w:tcW w:w="4395" w:type="dxa"/>
            <w:tcBorders>
              <w:top w:val="single" w:sz="6" w:space="0" w:color="000000"/>
              <w:left w:val="nil"/>
              <w:bottom w:val="single" w:sz="6" w:space="0" w:color="000000"/>
              <w:right w:val="single" w:sz="6" w:space="0" w:color="000000"/>
            </w:tcBorders>
            <w:tcMar>
              <w:top w:w="-283" w:type="dxa"/>
              <w:left w:w="-283" w:type="dxa"/>
              <w:bottom w:w="-283" w:type="dxa"/>
              <w:right w:w="-283" w:type="dxa"/>
            </w:tcMar>
          </w:tcPr>
          <w:p w14:paraId="000000A3" w14:textId="77777777" w:rsidR="00763B82" w:rsidRPr="00F67160" w:rsidRDefault="00101471">
            <w:pPr>
              <w:keepNext/>
              <w:keepLines/>
              <w:spacing w:before="240" w:after="240"/>
              <w:jc w:val="center"/>
              <w:rPr>
                <w:rFonts w:ascii="Montserrat" w:eastAsia="Montserrat" w:hAnsi="Montserrat" w:cs="Montserrat"/>
                <w:b/>
                <w:bCs/>
                <w:sz w:val="18"/>
                <w:szCs w:val="18"/>
              </w:rPr>
            </w:pPr>
            <w:proofErr w:type="spellStart"/>
            <w:r w:rsidRPr="00F67160">
              <w:rPr>
                <w:rFonts w:ascii="Montserrat" w:eastAsia="Montserrat" w:hAnsi="Montserrat" w:cs="Montserrat"/>
                <w:b/>
                <w:bCs/>
                <w:sz w:val="18"/>
                <w:szCs w:val="18"/>
              </w:rPr>
              <w:t>CUCoP</w:t>
            </w:r>
            <w:proofErr w:type="spellEnd"/>
          </w:p>
        </w:tc>
      </w:tr>
      <w:tr w:rsidR="00763B82" w:rsidRPr="00F67160" w14:paraId="7D77D98D" w14:textId="77777777">
        <w:trPr>
          <w:trHeight w:val="487"/>
        </w:trPr>
        <w:tc>
          <w:tcPr>
            <w:tcW w:w="4500" w:type="dxa"/>
            <w:tcBorders>
              <w:top w:val="nil"/>
              <w:left w:val="single" w:sz="6" w:space="0" w:color="000000"/>
              <w:bottom w:val="single" w:sz="6" w:space="0" w:color="000000"/>
              <w:right w:val="single" w:sz="6" w:space="0" w:color="000000"/>
            </w:tcBorders>
            <w:tcMar>
              <w:top w:w="-283" w:type="dxa"/>
              <w:left w:w="-283" w:type="dxa"/>
              <w:bottom w:w="-283" w:type="dxa"/>
              <w:right w:w="-283" w:type="dxa"/>
            </w:tcMar>
          </w:tcPr>
          <w:p w14:paraId="000000A4"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25401 “Materiales, accesorios y suministros médicos”</w:t>
            </w:r>
          </w:p>
        </w:tc>
        <w:tc>
          <w:tcPr>
            <w:tcW w:w="4395" w:type="dxa"/>
            <w:tcBorders>
              <w:top w:val="nil"/>
              <w:left w:val="nil"/>
              <w:bottom w:val="single" w:sz="6" w:space="0" w:color="000000"/>
              <w:right w:val="single" w:sz="6" w:space="0" w:color="000000"/>
            </w:tcBorders>
            <w:tcMar>
              <w:top w:w="-283" w:type="dxa"/>
              <w:left w:w="-283" w:type="dxa"/>
              <w:bottom w:w="-283" w:type="dxa"/>
              <w:right w:w="-283" w:type="dxa"/>
            </w:tcMar>
          </w:tcPr>
          <w:p w14:paraId="000000A5"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25401-8189 “Materiales, accesorios y suministros médicos”</w:t>
            </w:r>
          </w:p>
        </w:tc>
      </w:tr>
      <w:tr w:rsidR="00763B82" w:rsidRPr="00F67160" w14:paraId="79E1EDCE" w14:textId="77777777">
        <w:trPr>
          <w:trHeight w:val="975"/>
        </w:trPr>
        <w:tc>
          <w:tcPr>
            <w:tcW w:w="4500" w:type="dxa"/>
            <w:tcBorders>
              <w:top w:val="nil"/>
              <w:left w:val="single" w:sz="6" w:space="0" w:color="000000"/>
              <w:bottom w:val="single" w:sz="6" w:space="0" w:color="000000"/>
              <w:right w:val="single" w:sz="6" w:space="0" w:color="000000"/>
            </w:tcBorders>
            <w:tcMar>
              <w:top w:w="-283" w:type="dxa"/>
              <w:left w:w="-283" w:type="dxa"/>
              <w:bottom w:w="-283" w:type="dxa"/>
              <w:right w:w="-283" w:type="dxa"/>
            </w:tcMar>
          </w:tcPr>
          <w:p w14:paraId="000000A6"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25501 “Materiales, accesorios y suministros de laboratorio”</w:t>
            </w:r>
          </w:p>
          <w:p w14:paraId="000000A7"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 xml:space="preserve"> </w:t>
            </w:r>
          </w:p>
        </w:tc>
        <w:tc>
          <w:tcPr>
            <w:tcW w:w="4395" w:type="dxa"/>
            <w:tcBorders>
              <w:top w:val="nil"/>
              <w:left w:val="nil"/>
              <w:bottom w:val="single" w:sz="6" w:space="0" w:color="000000"/>
              <w:right w:val="single" w:sz="6" w:space="0" w:color="000000"/>
            </w:tcBorders>
            <w:tcMar>
              <w:top w:w="-283" w:type="dxa"/>
              <w:left w:w="-283" w:type="dxa"/>
              <w:bottom w:w="-283" w:type="dxa"/>
              <w:right w:w="-283" w:type="dxa"/>
            </w:tcMar>
          </w:tcPr>
          <w:p w14:paraId="000000A8"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25501 – 0525 “Material de Laboratorio”</w:t>
            </w:r>
          </w:p>
        </w:tc>
      </w:tr>
      <w:tr w:rsidR="00763B82" w14:paraId="6B6CF424" w14:textId="77777777">
        <w:trPr>
          <w:trHeight w:val="2135"/>
        </w:trPr>
        <w:tc>
          <w:tcPr>
            <w:tcW w:w="4500" w:type="dxa"/>
            <w:tcBorders>
              <w:top w:val="nil"/>
              <w:left w:val="single" w:sz="6" w:space="0" w:color="000000"/>
              <w:bottom w:val="single" w:sz="6" w:space="0" w:color="000000"/>
              <w:right w:val="single" w:sz="6" w:space="0" w:color="000000"/>
            </w:tcBorders>
            <w:tcMar>
              <w:top w:w="-283" w:type="dxa"/>
              <w:left w:w="-283" w:type="dxa"/>
              <w:bottom w:w="-283" w:type="dxa"/>
              <w:right w:w="-283" w:type="dxa"/>
            </w:tcMar>
          </w:tcPr>
          <w:p w14:paraId="000000A9"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25901 “Otros Productos Químicos”</w:t>
            </w:r>
          </w:p>
        </w:tc>
        <w:tc>
          <w:tcPr>
            <w:tcW w:w="4395" w:type="dxa"/>
            <w:tcBorders>
              <w:top w:val="nil"/>
              <w:left w:val="nil"/>
              <w:bottom w:val="single" w:sz="6" w:space="0" w:color="000000"/>
              <w:right w:val="single" w:sz="6" w:space="0" w:color="000000"/>
            </w:tcBorders>
            <w:tcMar>
              <w:top w:w="-283" w:type="dxa"/>
              <w:left w:w="-283" w:type="dxa"/>
              <w:bottom w:w="-283" w:type="dxa"/>
              <w:right w:w="-283" w:type="dxa"/>
            </w:tcMar>
          </w:tcPr>
          <w:p w14:paraId="000000AA"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25901-0011 “Sustancias en forma sólida para uso en laboratorio”</w:t>
            </w:r>
          </w:p>
          <w:p w14:paraId="000000AB"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225901-0012 “Sustancias en forma líquida para uso en laboratorio”</w:t>
            </w:r>
          </w:p>
          <w:p w14:paraId="000000AC"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 xml:space="preserve"> </w:t>
            </w:r>
          </w:p>
          <w:p w14:paraId="000000AD" w14:textId="77777777" w:rsidR="00763B82" w:rsidRPr="00F67160" w:rsidRDefault="00101471">
            <w:pPr>
              <w:keepNext/>
              <w:keepLines/>
              <w:spacing w:before="240" w:after="240"/>
              <w:jc w:val="center"/>
              <w:rPr>
                <w:rFonts w:ascii="Montserrat" w:eastAsia="Montserrat" w:hAnsi="Montserrat" w:cs="Montserrat"/>
                <w:b/>
                <w:bCs/>
                <w:sz w:val="18"/>
                <w:szCs w:val="18"/>
              </w:rPr>
            </w:pPr>
            <w:r w:rsidRPr="00F67160">
              <w:rPr>
                <w:rFonts w:ascii="Montserrat" w:eastAsia="Montserrat" w:hAnsi="Montserrat" w:cs="Montserrat"/>
                <w:b/>
                <w:bCs/>
                <w:sz w:val="18"/>
                <w:szCs w:val="18"/>
              </w:rPr>
              <w:t xml:space="preserve"> </w:t>
            </w:r>
          </w:p>
        </w:tc>
      </w:tr>
    </w:tbl>
    <w:p w14:paraId="000000AE" w14:textId="77777777" w:rsidR="00763B82" w:rsidRDefault="00763B82">
      <w:pPr>
        <w:keepNext/>
        <w:keepLines/>
        <w:jc w:val="both"/>
        <w:rPr>
          <w:rFonts w:ascii="Noto Sans" w:eastAsia="Noto Sans" w:hAnsi="Noto Sans" w:cs="Noto Sans"/>
          <w:b/>
          <w:bCs/>
          <w:sz w:val="20"/>
          <w:szCs w:val="20"/>
        </w:rPr>
      </w:pPr>
      <w:bookmarkStart w:id="4" w:name="_heading=h.o1dijvq2bzvj" w:colFirst="0" w:colLast="0"/>
      <w:bookmarkEnd w:id="4"/>
    </w:p>
    <w:p w14:paraId="000000AF" w14:textId="77777777" w:rsidR="00763B82" w:rsidRDefault="00763B82">
      <w:pPr>
        <w:jc w:val="both"/>
        <w:rPr>
          <w:rFonts w:ascii="Noto Sans" w:eastAsia="Noto Sans" w:hAnsi="Noto Sans" w:cs="Noto Sans"/>
          <w:sz w:val="20"/>
          <w:szCs w:val="20"/>
        </w:rPr>
      </w:pPr>
    </w:p>
    <w:p w14:paraId="000000B6" w14:textId="70F5E0D2" w:rsidR="00763B82" w:rsidRDefault="004A20F1">
      <w:pPr>
        <w:jc w:val="both"/>
        <w:rPr>
          <w:rFonts w:ascii="Noto Sans" w:eastAsia="Noto Sans" w:hAnsi="Noto Sans" w:cs="Noto Sans"/>
          <w:sz w:val="20"/>
          <w:szCs w:val="20"/>
        </w:rPr>
      </w:pPr>
      <w:r w:rsidRPr="004A20F1">
        <w:rPr>
          <w:rFonts w:ascii="Noto Sans" w:eastAsia="Noto Sans" w:hAnsi="Noto Sans" w:cs="Noto Sans"/>
          <w:sz w:val="20"/>
          <w:szCs w:val="20"/>
        </w:rPr>
        <w:t>La adquisición comprende los insumos específicos detallados en el Anexo 1 “REQUERIMIENTO”, los cuales deberán entregarse en el HRAEB previa solicitud del personal designado por la Coordinación del Hospital, conforme a los mecanismos establecidos en el presente Anexo Técnico y en el documento “Términos y Condiciones”.</w:t>
      </w:r>
      <w:bookmarkStart w:id="5" w:name="_heading=h.2et92p0" w:colFirst="0" w:colLast="0"/>
      <w:bookmarkEnd w:id="5"/>
    </w:p>
    <w:p w14:paraId="5A2253AF" w14:textId="77777777" w:rsidR="004A20F1" w:rsidRDefault="004A20F1">
      <w:pPr>
        <w:jc w:val="both"/>
        <w:rPr>
          <w:rFonts w:ascii="Noto Sans" w:eastAsia="Noto Sans" w:hAnsi="Noto Sans" w:cs="Noto Sans"/>
          <w:sz w:val="20"/>
          <w:szCs w:val="20"/>
        </w:rPr>
      </w:pPr>
    </w:p>
    <w:p w14:paraId="573E398F" w14:textId="77777777" w:rsidR="004A20F1" w:rsidRPr="004A20F1" w:rsidRDefault="004A20F1" w:rsidP="004A20F1">
      <w:pPr>
        <w:jc w:val="both"/>
        <w:rPr>
          <w:rFonts w:ascii="Noto Sans" w:eastAsia="Noto Sans" w:hAnsi="Noto Sans" w:cs="Noto Sans"/>
          <w:b/>
          <w:bCs/>
          <w:sz w:val="20"/>
          <w:szCs w:val="20"/>
        </w:rPr>
      </w:pPr>
      <w:r w:rsidRPr="004A20F1">
        <w:rPr>
          <w:rFonts w:ascii="Noto Sans" w:eastAsia="Noto Sans" w:hAnsi="Noto Sans" w:cs="Noto Sans"/>
          <w:b/>
          <w:bCs/>
          <w:sz w:val="20"/>
          <w:szCs w:val="20"/>
        </w:rPr>
        <w:t>REQUERIMIENTOS PARA EL MANEJO, PROCESAMIENTO Y RESGUARDO DE INSUMOS</w:t>
      </w:r>
    </w:p>
    <w:p w14:paraId="09330855" w14:textId="77777777" w:rsidR="004A20F1" w:rsidRPr="004A20F1" w:rsidRDefault="004A20F1" w:rsidP="004A20F1">
      <w:pPr>
        <w:jc w:val="both"/>
        <w:rPr>
          <w:rFonts w:ascii="Noto Sans" w:eastAsia="Noto Sans" w:hAnsi="Noto Sans" w:cs="Noto Sans"/>
          <w:sz w:val="20"/>
          <w:szCs w:val="20"/>
        </w:rPr>
      </w:pPr>
    </w:p>
    <w:p w14:paraId="28103AC6" w14:textId="77777777" w:rsidR="004A20F1" w:rsidRPr="004A20F1" w:rsidRDefault="004A20F1" w:rsidP="004A20F1">
      <w:pPr>
        <w:jc w:val="both"/>
        <w:rPr>
          <w:rFonts w:ascii="Noto Sans" w:eastAsia="Noto Sans" w:hAnsi="Noto Sans" w:cs="Noto Sans"/>
          <w:sz w:val="20"/>
          <w:szCs w:val="20"/>
        </w:rPr>
      </w:pPr>
      <w:r w:rsidRPr="004A20F1">
        <w:rPr>
          <w:rFonts w:ascii="Noto Sans" w:eastAsia="Noto Sans" w:hAnsi="Noto Sans" w:cs="Noto Sans"/>
          <w:sz w:val="20"/>
          <w:szCs w:val="20"/>
        </w:rPr>
        <w:t>El Departamento de Anatomía Patológica es un área diagnóstica crítica del HRAEB. Se procesan muestras histopatológicas, citológicas e inmunohistoquímicas, por lo que el manejo de los materiales suministrados por proveedores debe cumplir estrictamente con normas internas de bioseguridad, control de calidad y trazabilidad.</w:t>
      </w:r>
    </w:p>
    <w:p w14:paraId="11AB8471" w14:textId="77777777" w:rsidR="004A20F1" w:rsidRPr="004A20F1" w:rsidRDefault="004A20F1" w:rsidP="004A20F1">
      <w:pPr>
        <w:jc w:val="both"/>
        <w:rPr>
          <w:rFonts w:ascii="Noto Sans" w:eastAsia="Noto Sans" w:hAnsi="Noto Sans" w:cs="Noto Sans"/>
          <w:sz w:val="20"/>
          <w:szCs w:val="20"/>
        </w:rPr>
      </w:pPr>
    </w:p>
    <w:p w14:paraId="7C04939A" w14:textId="77777777" w:rsidR="004A20F1" w:rsidRPr="004A20F1" w:rsidRDefault="004A20F1" w:rsidP="004A20F1">
      <w:pPr>
        <w:jc w:val="both"/>
        <w:rPr>
          <w:rFonts w:ascii="Noto Sans" w:eastAsia="Noto Sans" w:hAnsi="Noto Sans" w:cs="Noto Sans"/>
          <w:sz w:val="20"/>
          <w:szCs w:val="20"/>
        </w:rPr>
      </w:pPr>
      <w:r w:rsidRPr="004A20F1">
        <w:rPr>
          <w:rFonts w:ascii="Noto Sans" w:eastAsia="Noto Sans" w:hAnsi="Noto Sans" w:cs="Noto Sans"/>
          <w:sz w:val="20"/>
          <w:szCs w:val="20"/>
        </w:rPr>
        <w:t>Por ello, se establecen los siguientes lineamientos:</w:t>
      </w:r>
    </w:p>
    <w:p w14:paraId="569F6FC2" w14:textId="77777777" w:rsidR="004A20F1" w:rsidRPr="004A20F1" w:rsidRDefault="004A20F1" w:rsidP="004A20F1">
      <w:pPr>
        <w:jc w:val="both"/>
        <w:rPr>
          <w:rFonts w:ascii="Noto Sans" w:eastAsia="Noto Sans" w:hAnsi="Noto Sans" w:cs="Noto Sans"/>
          <w:sz w:val="20"/>
          <w:szCs w:val="20"/>
        </w:rPr>
      </w:pPr>
    </w:p>
    <w:p w14:paraId="3D8F4636" w14:textId="77777777" w:rsidR="004A20F1" w:rsidRPr="004A20F1" w:rsidRDefault="004A20F1" w:rsidP="004A20F1">
      <w:pPr>
        <w:pStyle w:val="Prrafodelista"/>
        <w:numPr>
          <w:ilvl w:val="0"/>
          <w:numId w:val="6"/>
        </w:numPr>
        <w:jc w:val="both"/>
        <w:rPr>
          <w:rFonts w:ascii="Noto Sans" w:eastAsia="Noto Sans" w:hAnsi="Noto Sans" w:cs="Noto Sans"/>
          <w:sz w:val="20"/>
          <w:szCs w:val="20"/>
        </w:rPr>
      </w:pPr>
      <w:r w:rsidRPr="004A20F1">
        <w:rPr>
          <w:rFonts w:ascii="Noto Sans" w:eastAsia="Noto Sans" w:hAnsi="Noto Sans" w:cs="Noto Sans"/>
          <w:sz w:val="20"/>
          <w:szCs w:val="20"/>
        </w:rPr>
        <w:t>El proveedor deberá apegarse a las actividades permitidas dentro del área, siguiendo lineamientos de bioseguridad, control de contaminación y trazabilidad.</w:t>
      </w:r>
    </w:p>
    <w:p w14:paraId="3C854C33" w14:textId="77777777" w:rsidR="004A20F1" w:rsidRPr="004A20F1" w:rsidRDefault="004A20F1" w:rsidP="004A20F1">
      <w:pPr>
        <w:jc w:val="both"/>
        <w:rPr>
          <w:rFonts w:ascii="Noto Sans" w:eastAsia="Noto Sans" w:hAnsi="Noto Sans" w:cs="Noto Sans"/>
          <w:sz w:val="20"/>
          <w:szCs w:val="20"/>
        </w:rPr>
      </w:pPr>
    </w:p>
    <w:p w14:paraId="60C91E69" w14:textId="77777777" w:rsidR="004A20F1" w:rsidRPr="004A20F1" w:rsidRDefault="004A20F1" w:rsidP="004A20F1">
      <w:pPr>
        <w:pStyle w:val="Prrafodelista"/>
        <w:numPr>
          <w:ilvl w:val="0"/>
          <w:numId w:val="6"/>
        </w:numPr>
        <w:jc w:val="both"/>
        <w:rPr>
          <w:rFonts w:ascii="Noto Sans" w:eastAsia="Noto Sans" w:hAnsi="Noto Sans" w:cs="Noto Sans"/>
          <w:sz w:val="20"/>
          <w:szCs w:val="20"/>
        </w:rPr>
      </w:pPr>
      <w:r w:rsidRPr="004A20F1">
        <w:rPr>
          <w:rFonts w:ascii="Noto Sans" w:eastAsia="Noto Sans" w:hAnsi="Noto Sans" w:cs="Noto Sans"/>
          <w:sz w:val="20"/>
          <w:szCs w:val="20"/>
        </w:rPr>
        <w:lastRenderedPageBreak/>
        <w:t>El personal del Departamento brindará orientación técnica respecto a los procedimientos de recepción, verificación, limpieza y almacenamiento temporal.</w:t>
      </w:r>
    </w:p>
    <w:p w14:paraId="1EA092D7" w14:textId="77777777" w:rsidR="004A20F1" w:rsidRPr="004A20F1" w:rsidRDefault="004A20F1" w:rsidP="004A20F1">
      <w:pPr>
        <w:jc w:val="both"/>
        <w:rPr>
          <w:rFonts w:ascii="Noto Sans" w:eastAsia="Noto Sans" w:hAnsi="Noto Sans" w:cs="Noto Sans"/>
          <w:sz w:val="20"/>
          <w:szCs w:val="20"/>
        </w:rPr>
      </w:pPr>
    </w:p>
    <w:p w14:paraId="112DFCC7" w14:textId="77777777" w:rsidR="004A20F1" w:rsidRPr="004A20F1" w:rsidRDefault="004A20F1" w:rsidP="004A20F1">
      <w:pPr>
        <w:pStyle w:val="Prrafodelista"/>
        <w:numPr>
          <w:ilvl w:val="0"/>
          <w:numId w:val="6"/>
        </w:numPr>
        <w:jc w:val="both"/>
        <w:rPr>
          <w:rFonts w:ascii="Noto Sans" w:eastAsia="Noto Sans" w:hAnsi="Noto Sans" w:cs="Noto Sans"/>
          <w:sz w:val="20"/>
          <w:szCs w:val="20"/>
        </w:rPr>
      </w:pPr>
      <w:r w:rsidRPr="004A20F1">
        <w:rPr>
          <w:rFonts w:ascii="Noto Sans" w:eastAsia="Noto Sans" w:hAnsi="Noto Sans" w:cs="Noto Sans"/>
          <w:sz w:val="20"/>
          <w:szCs w:val="20"/>
        </w:rPr>
        <w:t>El personal del Departamento no realizará actividades de limpieza, desinfección, mantenimiento o empaque de material propiedad del proveedor.</w:t>
      </w:r>
    </w:p>
    <w:p w14:paraId="2C471A63" w14:textId="77777777" w:rsidR="004A20F1" w:rsidRPr="004A20F1" w:rsidRDefault="004A20F1" w:rsidP="004A20F1">
      <w:pPr>
        <w:jc w:val="both"/>
        <w:rPr>
          <w:rFonts w:ascii="Noto Sans" w:eastAsia="Noto Sans" w:hAnsi="Noto Sans" w:cs="Noto Sans"/>
          <w:sz w:val="20"/>
          <w:szCs w:val="20"/>
        </w:rPr>
      </w:pPr>
    </w:p>
    <w:p w14:paraId="3ECC155E" w14:textId="77777777" w:rsidR="004A20F1" w:rsidRPr="004A20F1" w:rsidRDefault="004A20F1" w:rsidP="004A20F1">
      <w:pPr>
        <w:pStyle w:val="Prrafodelista"/>
        <w:numPr>
          <w:ilvl w:val="0"/>
          <w:numId w:val="6"/>
        </w:numPr>
        <w:jc w:val="both"/>
        <w:rPr>
          <w:rFonts w:ascii="Noto Sans" w:eastAsia="Noto Sans" w:hAnsi="Noto Sans" w:cs="Noto Sans"/>
          <w:sz w:val="20"/>
          <w:szCs w:val="20"/>
        </w:rPr>
      </w:pPr>
      <w:r w:rsidRPr="004A20F1">
        <w:rPr>
          <w:rFonts w:ascii="Noto Sans" w:eastAsia="Noto Sans" w:hAnsi="Noto Sans" w:cs="Noto Sans"/>
          <w:sz w:val="20"/>
          <w:szCs w:val="20"/>
        </w:rPr>
        <w:t>El proveedor deberá entregar los reactivos o materiales que requieran revisión o calibración 24 horas antes de su uso programado.</w:t>
      </w:r>
    </w:p>
    <w:p w14:paraId="365C82FA" w14:textId="77777777" w:rsidR="004A20F1" w:rsidRPr="004A20F1" w:rsidRDefault="004A20F1" w:rsidP="004A20F1">
      <w:pPr>
        <w:jc w:val="both"/>
        <w:rPr>
          <w:rFonts w:ascii="Noto Sans" w:eastAsia="Noto Sans" w:hAnsi="Noto Sans" w:cs="Noto Sans"/>
          <w:sz w:val="20"/>
          <w:szCs w:val="20"/>
        </w:rPr>
      </w:pPr>
    </w:p>
    <w:p w14:paraId="161983C5" w14:textId="77777777" w:rsidR="004A20F1" w:rsidRPr="004A20F1" w:rsidRDefault="004A20F1" w:rsidP="004A20F1">
      <w:pPr>
        <w:pStyle w:val="Prrafodelista"/>
        <w:numPr>
          <w:ilvl w:val="0"/>
          <w:numId w:val="6"/>
        </w:numPr>
        <w:jc w:val="both"/>
        <w:rPr>
          <w:rFonts w:ascii="Noto Sans" w:eastAsia="Noto Sans" w:hAnsi="Noto Sans" w:cs="Noto Sans"/>
          <w:sz w:val="20"/>
          <w:szCs w:val="20"/>
        </w:rPr>
      </w:pPr>
      <w:r w:rsidRPr="004A20F1">
        <w:rPr>
          <w:rFonts w:ascii="Noto Sans" w:eastAsia="Noto Sans" w:hAnsi="Noto Sans" w:cs="Noto Sans"/>
          <w:sz w:val="20"/>
          <w:szCs w:val="20"/>
        </w:rPr>
        <w:t>El proveedor verificará diariamente que sus materiales estén completos, funcionales y con la documentación correspondiente.</w:t>
      </w:r>
    </w:p>
    <w:p w14:paraId="6BE0D2F6" w14:textId="77777777" w:rsidR="004A20F1" w:rsidRPr="004A20F1" w:rsidRDefault="004A20F1" w:rsidP="004A20F1">
      <w:pPr>
        <w:jc w:val="both"/>
        <w:rPr>
          <w:rFonts w:ascii="Noto Sans" w:eastAsia="Noto Sans" w:hAnsi="Noto Sans" w:cs="Noto Sans"/>
          <w:sz w:val="20"/>
          <w:szCs w:val="20"/>
        </w:rPr>
      </w:pPr>
    </w:p>
    <w:p w14:paraId="696B4B35" w14:textId="2B0A22A0" w:rsidR="004A20F1" w:rsidRPr="004A20F1" w:rsidRDefault="004A20F1" w:rsidP="004A20F1">
      <w:pPr>
        <w:pStyle w:val="Prrafodelista"/>
        <w:numPr>
          <w:ilvl w:val="0"/>
          <w:numId w:val="6"/>
        </w:numPr>
        <w:jc w:val="both"/>
        <w:rPr>
          <w:rFonts w:ascii="Noto Sans" w:eastAsia="Noto Sans" w:hAnsi="Noto Sans" w:cs="Noto Sans"/>
          <w:sz w:val="20"/>
          <w:szCs w:val="20"/>
        </w:rPr>
      </w:pPr>
      <w:r w:rsidRPr="004A20F1">
        <w:rPr>
          <w:rFonts w:ascii="Noto Sans" w:eastAsia="Noto Sans" w:hAnsi="Noto Sans" w:cs="Noto Sans"/>
          <w:sz w:val="20"/>
          <w:szCs w:val="20"/>
        </w:rPr>
        <w:t>Al finalizar las actividades, el proveedor deberá retirar, limpiar o reprocesar el material utilizado, de acuerdo con las normas de residuos biológico-infecciosos, sin requerir insumos o personal del Departamento.</w:t>
      </w:r>
    </w:p>
    <w:p w14:paraId="5F1D3761" w14:textId="77777777" w:rsidR="004A20F1" w:rsidRDefault="004A20F1">
      <w:pPr>
        <w:jc w:val="both"/>
        <w:rPr>
          <w:rFonts w:ascii="Noto Sans" w:eastAsia="Noto Sans" w:hAnsi="Noto Sans" w:cs="Noto Sans"/>
          <w:sz w:val="20"/>
          <w:szCs w:val="20"/>
        </w:rPr>
      </w:pPr>
    </w:p>
    <w:p w14:paraId="000000B7" w14:textId="50D694A5" w:rsidR="00763B82" w:rsidRDefault="00763B82">
      <w:pPr>
        <w:jc w:val="both"/>
        <w:rPr>
          <w:rFonts w:ascii="Noto Sans" w:eastAsia="Noto Sans" w:hAnsi="Noto Sans" w:cs="Noto Sans"/>
          <w:sz w:val="20"/>
          <w:szCs w:val="20"/>
          <w:highlight w:val="green"/>
        </w:rPr>
      </w:pPr>
    </w:p>
    <w:p w14:paraId="000000B8" w14:textId="77777777" w:rsidR="00763B82" w:rsidRDefault="00763B82">
      <w:pPr>
        <w:jc w:val="both"/>
        <w:rPr>
          <w:rFonts w:ascii="Noto Sans" w:eastAsia="Noto Sans" w:hAnsi="Noto Sans" w:cs="Noto Sans"/>
          <w:color w:val="FF0000"/>
          <w:sz w:val="20"/>
          <w:szCs w:val="20"/>
        </w:rPr>
      </w:pPr>
    </w:p>
    <w:p w14:paraId="000000CA" w14:textId="77777777" w:rsidR="00763B82" w:rsidRDefault="00763B82">
      <w:pPr>
        <w:pBdr>
          <w:top w:val="nil"/>
          <w:left w:val="nil"/>
          <w:bottom w:val="nil"/>
          <w:right w:val="nil"/>
          <w:between w:val="nil"/>
        </w:pBdr>
        <w:ind w:right="-142"/>
        <w:jc w:val="both"/>
        <w:rPr>
          <w:rFonts w:ascii="Noto Sans" w:eastAsia="Noto Sans" w:hAnsi="Noto Sans" w:cs="Noto Sans"/>
          <w:color w:val="000000"/>
          <w:sz w:val="20"/>
          <w:szCs w:val="20"/>
          <w:highlight w:val="green"/>
        </w:rPr>
      </w:pPr>
    </w:p>
    <w:p w14:paraId="000000CB" w14:textId="77777777" w:rsidR="00763B82" w:rsidRDefault="00763B82">
      <w:pPr>
        <w:ind w:right="-142"/>
        <w:jc w:val="both"/>
        <w:rPr>
          <w:rFonts w:ascii="Noto Sans" w:eastAsia="Noto Sans" w:hAnsi="Noto Sans" w:cs="Noto Sans"/>
          <w:b/>
          <w:bCs/>
          <w:sz w:val="20"/>
          <w:szCs w:val="20"/>
          <w:highlight w:val="cyan"/>
        </w:rPr>
      </w:pPr>
    </w:p>
    <w:p w14:paraId="000000CC" w14:textId="0AE2198B" w:rsidR="00763B82" w:rsidRPr="00F67160" w:rsidRDefault="00000000">
      <w:pPr>
        <w:numPr>
          <w:ilvl w:val="0"/>
          <w:numId w:val="5"/>
        </w:numPr>
        <w:ind w:right="-142"/>
        <w:jc w:val="both"/>
        <w:rPr>
          <w:rFonts w:ascii="Noto Sans" w:eastAsia="Noto Sans" w:hAnsi="Noto Sans" w:cs="Noto Sans"/>
          <w:b/>
          <w:bCs/>
          <w:sz w:val="20"/>
          <w:szCs w:val="20"/>
        </w:rPr>
      </w:pPr>
      <w:sdt>
        <w:sdtPr>
          <w:tag w:val="goog_rdk_2"/>
          <w:id w:val="-385443206"/>
          <w:showingPlcHdr/>
        </w:sdtPr>
        <w:sdtContent>
          <w:r w:rsidR="00F67160" w:rsidRPr="00F67160">
            <w:t xml:space="preserve">     </w:t>
          </w:r>
        </w:sdtContent>
      </w:sdt>
      <w:r w:rsidR="00101471" w:rsidRPr="00F67160">
        <w:rPr>
          <w:rFonts w:ascii="Noto Sans" w:eastAsia="Noto Sans" w:hAnsi="Noto Sans" w:cs="Noto Sans"/>
          <w:b/>
          <w:bCs/>
          <w:sz w:val="20"/>
          <w:szCs w:val="20"/>
        </w:rPr>
        <w:t>EQUIPAMIENTO MÉDICO</w:t>
      </w:r>
    </w:p>
    <w:p w14:paraId="000000CD" w14:textId="77777777" w:rsidR="00763B82" w:rsidRDefault="00763B82">
      <w:pPr>
        <w:ind w:right="-142"/>
        <w:jc w:val="both"/>
        <w:rPr>
          <w:rFonts w:ascii="Noto Sans" w:eastAsia="Noto Sans" w:hAnsi="Noto Sans" w:cs="Noto Sans"/>
          <w:b/>
          <w:bCs/>
          <w:sz w:val="20"/>
          <w:szCs w:val="20"/>
        </w:rPr>
      </w:pPr>
    </w:p>
    <w:p w14:paraId="000000CE" w14:textId="77777777" w:rsidR="00763B82" w:rsidRDefault="00101471">
      <w:pPr>
        <w:ind w:right="-142"/>
        <w:jc w:val="both"/>
        <w:rPr>
          <w:rFonts w:ascii="Noto Sans" w:eastAsia="Noto Sans" w:hAnsi="Noto Sans" w:cs="Noto Sans"/>
          <w:sz w:val="20"/>
          <w:szCs w:val="20"/>
        </w:rPr>
      </w:pPr>
      <w:r>
        <w:rPr>
          <w:rFonts w:ascii="Noto Sans" w:eastAsia="Noto Sans" w:hAnsi="Noto Sans" w:cs="Noto Sans"/>
          <w:sz w:val="20"/>
          <w:szCs w:val="20"/>
        </w:rPr>
        <w:t>No aplica.</w:t>
      </w:r>
    </w:p>
    <w:p w14:paraId="000000CF" w14:textId="77777777" w:rsidR="00763B82" w:rsidRDefault="00763B82">
      <w:pPr>
        <w:ind w:right="-142"/>
        <w:jc w:val="both"/>
        <w:rPr>
          <w:rFonts w:ascii="Noto Sans" w:eastAsia="Noto Sans" w:hAnsi="Noto Sans" w:cs="Noto Sans"/>
          <w:b/>
          <w:bCs/>
          <w:sz w:val="20"/>
          <w:szCs w:val="20"/>
        </w:rPr>
      </w:pPr>
    </w:p>
    <w:p w14:paraId="000000D0"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MANTENIMIENTO</w:t>
      </w:r>
    </w:p>
    <w:p w14:paraId="000000D1"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D2" w14:textId="77777777" w:rsidR="00763B82" w:rsidRDefault="00763B82">
      <w:pPr>
        <w:jc w:val="both"/>
        <w:rPr>
          <w:rFonts w:ascii="Noto Sans" w:eastAsia="Noto Sans" w:hAnsi="Noto Sans" w:cs="Noto Sans"/>
          <w:sz w:val="20"/>
          <w:szCs w:val="20"/>
        </w:rPr>
      </w:pPr>
    </w:p>
    <w:p w14:paraId="000000D3"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MANTENIMIENTO PREVENTIVO</w:t>
      </w:r>
    </w:p>
    <w:p w14:paraId="000000D4"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D5" w14:textId="77777777" w:rsidR="00763B82" w:rsidRDefault="00763B82">
      <w:pPr>
        <w:ind w:left="-142" w:right="-142"/>
        <w:jc w:val="center"/>
        <w:rPr>
          <w:rFonts w:ascii="Noto Sans" w:eastAsia="Noto Sans" w:hAnsi="Noto Sans" w:cs="Noto Sans"/>
          <w:b/>
          <w:bCs/>
          <w:sz w:val="20"/>
          <w:szCs w:val="20"/>
        </w:rPr>
      </w:pPr>
    </w:p>
    <w:p w14:paraId="000000D6"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MANTENIMIENTO CORRECTIVO</w:t>
      </w:r>
    </w:p>
    <w:p w14:paraId="000000D7"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D8" w14:textId="77777777" w:rsidR="00763B82" w:rsidRDefault="00763B82">
      <w:pPr>
        <w:ind w:left="-142" w:right="-142"/>
        <w:jc w:val="both"/>
        <w:rPr>
          <w:rFonts w:ascii="Noto Sans" w:eastAsia="Noto Sans" w:hAnsi="Noto Sans" w:cs="Noto Sans"/>
          <w:b/>
          <w:bCs/>
          <w:sz w:val="20"/>
          <w:szCs w:val="20"/>
        </w:rPr>
      </w:pPr>
    </w:p>
    <w:p w14:paraId="000000D9"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ASISTENCIA TÉCNICA</w:t>
      </w:r>
    </w:p>
    <w:p w14:paraId="000000DA"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DB" w14:textId="77777777" w:rsidR="00763B82" w:rsidRDefault="00763B82">
      <w:pPr>
        <w:jc w:val="both"/>
        <w:rPr>
          <w:rFonts w:ascii="Noto Sans" w:eastAsia="Noto Sans" w:hAnsi="Noto Sans" w:cs="Noto Sans"/>
          <w:sz w:val="20"/>
          <w:szCs w:val="20"/>
        </w:rPr>
      </w:pPr>
    </w:p>
    <w:p w14:paraId="000000DC"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CONSUMIBLES</w:t>
      </w:r>
    </w:p>
    <w:p w14:paraId="000000DD" w14:textId="77777777" w:rsidR="00763B82" w:rsidRDefault="00763B82">
      <w:pPr>
        <w:ind w:left="720" w:right="-142"/>
        <w:jc w:val="both"/>
        <w:rPr>
          <w:rFonts w:ascii="Noto Sans" w:eastAsia="Noto Sans" w:hAnsi="Noto Sans" w:cs="Noto Sans"/>
          <w:b/>
          <w:bCs/>
          <w:sz w:val="20"/>
          <w:szCs w:val="20"/>
        </w:rPr>
      </w:pPr>
    </w:p>
    <w:p w14:paraId="000000DE" w14:textId="77777777" w:rsidR="00763B82" w:rsidRDefault="00101471">
      <w:pPr>
        <w:jc w:val="both"/>
        <w:rPr>
          <w:rFonts w:ascii="Noto Sans" w:eastAsia="Noto Sans" w:hAnsi="Noto Sans" w:cs="Noto Sans"/>
          <w:sz w:val="20"/>
          <w:szCs w:val="20"/>
        </w:rPr>
      </w:pPr>
      <w:bookmarkStart w:id="6" w:name="_heading=h.3dy6vkm" w:colFirst="0" w:colLast="0"/>
      <w:bookmarkEnd w:id="6"/>
      <w:r>
        <w:rPr>
          <w:rFonts w:ascii="Noto Sans" w:eastAsia="Noto Sans" w:hAnsi="Noto Sans" w:cs="Noto Sans"/>
          <w:sz w:val="20"/>
          <w:szCs w:val="20"/>
        </w:rPr>
        <w:t>No aplica.</w:t>
      </w:r>
    </w:p>
    <w:p w14:paraId="000000DF" w14:textId="77777777" w:rsidR="00763B82" w:rsidRDefault="00763B82">
      <w:pPr>
        <w:jc w:val="both"/>
        <w:rPr>
          <w:rFonts w:ascii="Noto Sans" w:eastAsia="Noto Sans" w:hAnsi="Noto Sans" w:cs="Noto Sans"/>
          <w:sz w:val="20"/>
          <w:szCs w:val="20"/>
        </w:rPr>
      </w:pPr>
      <w:bookmarkStart w:id="7" w:name="_heading=h.a28boyh4i8bz" w:colFirst="0" w:colLast="0"/>
      <w:bookmarkEnd w:id="7"/>
    </w:p>
    <w:p w14:paraId="000000E0"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CAPACITACIÓN</w:t>
      </w:r>
    </w:p>
    <w:p w14:paraId="000000E1" w14:textId="77777777" w:rsidR="00763B82" w:rsidRDefault="00763B82">
      <w:pPr>
        <w:ind w:left="720" w:right="-142"/>
        <w:jc w:val="both"/>
        <w:rPr>
          <w:rFonts w:ascii="Noto Sans" w:eastAsia="Noto Sans" w:hAnsi="Noto Sans" w:cs="Noto Sans"/>
          <w:b/>
          <w:bCs/>
          <w:sz w:val="20"/>
          <w:szCs w:val="20"/>
        </w:rPr>
      </w:pPr>
    </w:p>
    <w:p w14:paraId="000000E2"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E3" w14:textId="77777777" w:rsidR="00763B82" w:rsidRDefault="00763B82">
      <w:pPr>
        <w:jc w:val="both"/>
        <w:rPr>
          <w:rFonts w:ascii="Noto Sans" w:eastAsia="Noto Sans" w:hAnsi="Noto Sans" w:cs="Noto Sans"/>
          <w:sz w:val="20"/>
          <w:szCs w:val="20"/>
        </w:rPr>
      </w:pPr>
    </w:p>
    <w:p w14:paraId="000000E4"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lastRenderedPageBreak/>
        <w:t>CAPACITACIÓN PREVIA</w:t>
      </w:r>
    </w:p>
    <w:p w14:paraId="000000E5" w14:textId="77777777" w:rsidR="00763B82" w:rsidRDefault="00763B82">
      <w:pPr>
        <w:ind w:left="720" w:right="-142"/>
        <w:jc w:val="both"/>
        <w:rPr>
          <w:rFonts w:ascii="Noto Sans" w:eastAsia="Noto Sans" w:hAnsi="Noto Sans" w:cs="Noto Sans"/>
          <w:b/>
          <w:bCs/>
          <w:sz w:val="20"/>
          <w:szCs w:val="20"/>
        </w:rPr>
      </w:pPr>
    </w:p>
    <w:p w14:paraId="000000E6"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E7" w14:textId="77777777" w:rsidR="00763B82" w:rsidRDefault="00763B82">
      <w:pPr>
        <w:ind w:right="-142"/>
        <w:jc w:val="both"/>
        <w:rPr>
          <w:rFonts w:ascii="Noto Sans" w:eastAsia="Noto Sans" w:hAnsi="Noto Sans" w:cs="Noto Sans"/>
          <w:sz w:val="20"/>
          <w:szCs w:val="20"/>
        </w:rPr>
      </w:pPr>
    </w:p>
    <w:p w14:paraId="000000E8" w14:textId="77777777" w:rsidR="00763B82" w:rsidRDefault="00101471">
      <w:pPr>
        <w:numPr>
          <w:ilvl w:val="0"/>
          <w:numId w:val="5"/>
        </w:numPr>
        <w:ind w:right="-142"/>
        <w:jc w:val="both"/>
        <w:rPr>
          <w:rFonts w:ascii="Noto Sans" w:eastAsia="Noto Sans" w:hAnsi="Noto Sans" w:cs="Noto Sans"/>
          <w:b/>
          <w:bCs/>
          <w:sz w:val="20"/>
          <w:szCs w:val="20"/>
        </w:rPr>
      </w:pPr>
      <w:r>
        <w:rPr>
          <w:rFonts w:ascii="Noto Sans" w:eastAsia="Noto Sans" w:hAnsi="Noto Sans" w:cs="Noto Sans"/>
          <w:b/>
          <w:bCs/>
          <w:sz w:val="20"/>
          <w:szCs w:val="20"/>
        </w:rPr>
        <w:t>CAPACITACIÓN CONTINUA.</w:t>
      </w:r>
    </w:p>
    <w:p w14:paraId="000000E9" w14:textId="77777777" w:rsidR="00763B82" w:rsidRDefault="00763B82">
      <w:pPr>
        <w:ind w:left="720" w:right="-142"/>
        <w:jc w:val="both"/>
        <w:rPr>
          <w:rFonts w:ascii="Noto Sans" w:eastAsia="Noto Sans" w:hAnsi="Noto Sans" w:cs="Noto Sans"/>
          <w:b/>
          <w:bCs/>
          <w:sz w:val="20"/>
          <w:szCs w:val="20"/>
        </w:rPr>
      </w:pPr>
    </w:p>
    <w:p w14:paraId="000000EA"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0EB" w14:textId="77777777" w:rsidR="00763B82" w:rsidRDefault="00763B82">
      <w:pPr>
        <w:jc w:val="both"/>
        <w:rPr>
          <w:rFonts w:ascii="Noto Sans" w:eastAsia="Noto Sans" w:hAnsi="Noto Sans" w:cs="Noto Sans"/>
          <w:sz w:val="20"/>
          <w:szCs w:val="20"/>
        </w:rPr>
      </w:pPr>
    </w:p>
    <w:p w14:paraId="000000EC" w14:textId="77777777" w:rsidR="00763B82" w:rsidRDefault="00101471">
      <w:pPr>
        <w:keepNext/>
        <w:keepLines/>
        <w:ind w:right="-142"/>
        <w:jc w:val="both"/>
        <w:rPr>
          <w:rFonts w:ascii="Noto Sans" w:eastAsia="Noto Sans" w:hAnsi="Noto Sans" w:cs="Noto Sans"/>
          <w:b/>
          <w:bCs/>
          <w:sz w:val="20"/>
          <w:szCs w:val="20"/>
        </w:rPr>
      </w:pPr>
      <w:bookmarkStart w:id="8" w:name="_heading=h.1t3h5sf" w:colFirst="0" w:colLast="0"/>
      <w:bookmarkEnd w:id="8"/>
      <w:r>
        <w:rPr>
          <w:rFonts w:ascii="Noto Sans" w:eastAsia="Noto Sans" w:hAnsi="Noto Sans" w:cs="Noto Sans"/>
          <w:b/>
          <w:bCs/>
          <w:sz w:val="20"/>
          <w:szCs w:val="20"/>
        </w:rPr>
        <w:t xml:space="preserve">D) PROCESO DE ENTREGA DE BIENES, DE INSTALACIÓN DE EQUIPOS O TODA ACTIVIDAD QUE SE REQUIERA REALIZAR PREVIO AL INICIO DEL CONTRATO QUE DEBERÁ REALIZAR EL LICITANTE ADJUDICADO; JUNTO CON LAS ACTIVIDADES CORRESPONDIENTES PARA EL LICITANTE ADJUDICADO SALIENTE, SIN QUE EN LA TRANSICIÓN SE VEA AFECTADO IMSS-BIENESTAR.  </w:t>
      </w:r>
    </w:p>
    <w:p w14:paraId="000000ED" w14:textId="77777777" w:rsidR="00763B82" w:rsidRDefault="00763B82">
      <w:pPr>
        <w:keepNext/>
        <w:keepLines/>
        <w:ind w:right="-142"/>
        <w:jc w:val="both"/>
        <w:rPr>
          <w:rFonts w:ascii="Noto Sans" w:eastAsia="Noto Sans" w:hAnsi="Noto Sans" w:cs="Noto Sans"/>
          <w:b/>
          <w:bCs/>
          <w:sz w:val="20"/>
          <w:szCs w:val="20"/>
        </w:rPr>
      </w:pPr>
      <w:bookmarkStart w:id="9" w:name="_heading=h.tjtv9mmdrzwe" w:colFirst="0" w:colLast="0"/>
      <w:bookmarkEnd w:id="9"/>
    </w:p>
    <w:p w14:paraId="000000EE" w14:textId="77777777" w:rsidR="00763B82" w:rsidRPr="00A312C6" w:rsidRDefault="00000000">
      <w:pPr>
        <w:keepNext/>
        <w:keepLines/>
        <w:spacing w:before="240" w:after="240"/>
        <w:jc w:val="both"/>
        <w:rPr>
          <w:rFonts w:ascii="Montserrat" w:eastAsia="Montserrat" w:hAnsi="Montserrat" w:cs="Montserrat"/>
          <w:sz w:val="20"/>
          <w:szCs w:val="20"/>
        </w:rPr>
      </w:pPr>
      <w:sdt>
        <w:sdtPr>
          <w:tag w:val="goog_rdk_3"/>
          <w:id w:val="582848353"/>
        </w:sdtPr>
        <w:sdtContent/>
      </w:sdt>
      <w:r w:rsidR="00101471" w:rsidRPr="00A312C6">
        <w:rPr>
          <w:rFonts w:ascii="Montserrat" w:eastAsia="Montserrat" w:hAnsi="Montserrat" w:cs="Montserrat"/>
          <w:sz w:val="20"/>
          <w:szCs w:val="20"/>
        </w:rPr>
        <w:t>La primera entrega deberá realizarse dentro de los</w:t>
      </w:r>
      <w:r w:rsidR="00101471" w:rsidRPr="00A312C6">
        <w:rPr>
          <w:rFonts w:ascii="Montserrat" w:eastAsia="Montserrat" w:hAnsi="Montserrat" w:cs="Montserrat"/>
          <w:b/>
          <w:bCs/>
          <w:sz w:val="20"/>
          <w:szCs w:val="20"/>
        </w:rPr>
        <w:t xml:space="preserve"> diez días naturales </w:t>
      </w:r>
      <w:r w:rsidR="00101471" w:rsidRPr="00A312C6">
        <w:rPr>
          <w:rFonts w:ascii="Montserrat" w:eastAsia="Montserrat" w:hAnsi="Montserrat" w:cs="Montserrat"/>
          <w:sz w:val="20"/>
          <w:szCs w:val="20"/>
        </w:rPr>
        <w:t xml:space="preserve">contados a partir de la notificación del fallo y/o adjudicación la cual deberá corresponder al </w:t>
      </w:r>
      <w:r w:rsidR="00101471" w:rsidRPr="00A312C6">
        <w:rPr>
          <w:rFonts w:ascii="Montserrat" w:eastAsia="Montserrat" w:hAnsi="Montserrat" w:cs="Montserrat"/>
          <w:b/>
          <w:bCs/>
          <w:sz w:val="20"/>
          <w:szCs w:val="20"/>
        </w:rPr>
        <w:t xml:space="preserve">40% </w:t>
      </w:r>
      <w:r w:rsidR="00101471" w:rsidRPr="00A312C6">
        <w:rPr>
          <w:rFonts w:ascii="Montserrat" w:eastAsia="Montserrat" w:hAnsi="Montserrat" w:cs="Montserrat"/>
          <w:sz w:val="20"/>
          <w:szCs w:val="20"/>
        </w:rPr>
        <w:t xml:space="preserve">de la cantidad máxima estipulada en el contrato, las siguientes entregas correspondientes al </w:t>
      </w:r>
      <w:r w:rsidR="00101471" w:rsidRPr="00A312C6">
        <w:rPr>
          <w:rFonts w:ascii="Montserrat" w:eastAsia="Montserrat" w:hAnsi="Montserrat" w:cs="Montserrat"/>
          <w:b/>
          <w:bCs/>
          <w:sz w:val="20"/>
          <w:szCs w:val="20"/>
        </w:rPr>
        <w:t xml:space="preserve">60% </w:t>
      </w:r>
      <w:r w:rsidR="00101471" w:rsidRPr="00A312C6">
        <w:rPr>
          <w:rFonts w:ascii="Montserrat" w:eastAsia="Montserrat" w:hAnsi="Montserrat" w:cs="Montserrat"/>
          <w:sz w:val="20"/>
          <w:szCs w:val="20"/>
        </w:rPr>
        <w:t>deberán ser en entregas parciales conforme a las necesidades del organismo según se especifique en la orden de suministro emitida por el administrador del Contrato, dicha notificación podrá ser vía correo electrónico o vía telefónica.</w:t>
      </w:r>
    </w:p>
    <w:p w14:paraId="000000EF" w14:textId="77777777" w:rsidR="00763B82" w:rsidRPr="0054513D" w:rsidRDefault="00101471">
      <w:pPr>
        <w:keepNext/>
        <w:keepLines/>
        <w:spacing w:before="240" w:after="240"/>
        <w:jc w:val="both"/>
        <w:rPr>
          <w:rFonts w:ascii="Montserrat" w:eastAsia="Montserrat" w:hAnsi="Montserrat" w:cs="Montserrat"/>
          <w:sz w:val="20"/>
          <w:szCs w:val="20"/>
        </w:rPr>
      </w:pPr>
      <w:bookmarkStart w:id="10" w:name="_heading=h.s6iyscaxz39s" w:colFirst="0" w:colLast="0"/>
      <w:bookmarkEnd w:id="10"/>
      <w:r w:rsidRPr="0054513D">
        <w:rPr>
          <w:rFonts w:ascii="Montserrat" w:eastAsia="Montserrat" w:hAnsi="Montserrat" w:cs="Montserrat"/>
          <w:sz w:val="20"/>
          <w:szCs w:val="20"/>
        </w:rPr>
        <w:t xml:space="preserve">Carta compromiso de canje por corta caducidad (para insumos entre 9 y 12 meses de vida útil). Lo anterior debido a que los bienes a entregar deberán de cumplir con una caducidad de 18 meses al momento de la entrega, por lo que en su caso deberán ser sustituidos en un plazo no mayor a </w:t>
      </w:r>
      <w:r w:rsidRPr="0054513D">
        <w:rPr>
          <w:rFonts w:ascii="Montserrat" w:eastAsia="Montserrat" w:hAnsi="Montserrat" w:cs="Montserrat"/>
          <w:b/>
          <w:bCs/>
          <w:sz w:val="20"/>
          <w:szCs w:val="20"/>
        </w:rPr>
        <w:t xml:space="preserve">3 días naturales </w:t>
      </w:r>
      <w:r w:rsidRPr="0054513D">
        <w:rPr>
          <w:rFonts w:ascii="Montserrat" w:eastAsia="Montserrat" w:hAnsi="Montserrat" w:cs="Montserrat"/>
          <w:sz w:val="20"/>
          <w:szCs w:val="20"/>
        </w:rPr>
        <w:t>posteriores a la solicitud de canje por parte del organismo, sin ningún costo para el mismo.</w:t>
      </w:r>
    </w:p>
    <w:p w14:paraId="000000F0" w14:textId="77777777" w:rsidR="00763B82" w:rsidRPr="00A312C6" w:rsidRDefault="00000000">
      <w:pPr>
        <w:jc w:val="both"/>
        <w:rPr>
          <w:rFonts w:ascii="Noto Sans" w:eastAsia="Noto Sans" w:hAnsi="Noto Sans" w:cs="Noto Sans"/>
          <w:sz w:val="20"/>
          <w:szCs w:val="20"/>
        </w:rPr>
      </w:pPr>
      <w:sdt>
        <w:sdtPr>
          <w:tag w:val="goog_rdk_4"/>
          <w:id w:val="1869286679"/>
        </w:sdtPr>
        <w:sdtContent/>
      </w:sdt>
      <w:r w:rsidR="00101471" w:rsidRPr="00A312C6">
        <w:rPr>
          <w:rFonts w:ascii="Noto Sans" w:eastAsia="Noto Sans" w:hAnsi="Noto Sans" w:cs="Noto Sans"/>
          <w:sz w:val="20"/>
          <w:szCs w:val="20"/>
        </w:rPr>
        <w:t xml:space="preserve">Los insumos detallados en el </w:t>
      </w:r>
      <w:r w:rsidR="00101471" w:rsidRPr="00A312C6">
        <w:rPr>
          <w:rFonts w:ascii="Noto Sans" w:eastAsia="Noto Sans" w:hAnsi="Noto Sans" w:cs="Noto Sans"/>
          <w:b/>
          <w:bCs/>
          <w:sz w:val="20"/>
          <w:szCs w:val="20"/>
        </w:rPr>
        <w:t xml:space="preserve">Anexo 1 “REQUERIMIENTO” </w:t>
      </w:r>
      <w:r w:rsidR="00101471" w:rsidRPr="00A312C6">
        <w:rPr>
          <w:rFonts w:ascii="Noto Sans" w:eastAsia="Noto Sans" w:hAnsi="Noto Sans" w:cs="Noto Sans"/>
          <w:sz w:val="20"/>
          <w:szCs w:val="20"/>
        </w:rPr>
        <w:t xml:space="preserve">deberán realizarse entregarse en el Hospital Regional de Alta Especialidad del Bajío, adscrito al IMSS-BIENESTAR, </w:t>
      </w:r>
      <w:r w:rsidR="00101471" w:rsidRPr="00A312C6">
        <w:rPr>
          <w:rFonts w:ascii="Noto Sans" w:eastAsia="Noto Sans" w:hAnsi="Noto Sans" w:cs="Noto Sans"/>
          <w:b/>
          <w:bCs/>
          <w:sz w:val="20"/>
          <w:szCs w:val="20"/>
        </w:rPr>
        <w:t>Anexo 2 “DIRECTORIO DE UNIDADES MÉDICAS”</w:t>
      </w:r>
      <w:r w:rsidR="00101471" w:rsidRPr="00A312C6">
        <w:rPr>
          <w:rFonts w:ascii="Noto Sans" w:eastAsia="Noto Sans" w:hAnsi="Noto Sans" w:cs="Noto Sans"/>
          <w:sz w:val="20"/>
          <w:szCs w:val="20"/>
        </w:rPr>
        <w:t>, previa solicitud del personal designado por la Titular de la Coordinación del HRAEB, conforme a los mecanismos establecidos en el presente documento y en el documento denominado “Términos y Condiciones”.</w:t>
      </w:r>
    </w:p>
    <w:p w14:paraId="788624F4" w14:textId="77777777" w:rsidR="004A20F1" w:rsidRDefault="004A20F1">
      <w:pPr>
        <w:keepNext/>
        <w:keepLines/>
        <w:jc w:val="both"/>
        <w:rPr>
          <w:rFonts w:ascii="Noto Sans" w:eastAsia="Noto Sans" w:hAnsi="Noto Sans" w:cs="Noto Sans"/>
          <w:b/>
          <w:bCs/>
          <w:sz w:val="20"/>
          <w:szCs w:val="20"/>
        </w:rPr>
      </w:pPr>
      <w:bookmarkStart w:id="11" w:name="_heading=h.4d34og8" w:colFirst="0" w:colLast="0"/>
      <w:bookmarkEnd w:id="11"/>
    </w:p>
    <w:p w14:paraId="5A55A82B" w14:textId="77777777" w:rsidR="004A20F1" w:rsidRDefault="004A20F1">
      <w:pPr>
        <w:keepNext/>
        <w:keepLines/>
        <w:jc w:val="both"/>
        <w:rPr>
          <w:rFonts w:ascii="Noto Sans" w:eastAsia="Noto Sans" w:hAnsi="Noto Sans" w:cs="Noto Sans"/>
          <w:b/>
          <w:bCs/>
          <w:sz w:val="20"/>
          <w:szCs w:val="20"/>
        </w:rPr>
      </w:pPr>
    </w:p>
    <w:p w14:paraId="000000F9" w14:textId="4D449003" w:rsidR="00763B82" w:rsidRDefault="00101471">
      <w:pPr>
        <w:keepNext/>
        <w:keepLines/>
        <w:jc w:val="both"/>
        <w:rPr>
          <w:rFonts w:ascii="Noto Sans" w:eastAsia="Noto Sans" w:hAnsi="Noto Sans" w:cs="Noto Sans"/>
          <w:b/>
          <w:bCs/>
          <w:sz w:val="20"/>
          <w:szCs w:val="20"/>
        </w:rPr>
      </w:pPr>
      <w:r>
        <w:rPr>
          <w:rFonts w:ascii="Noto Sans" w:eastAsia="Noto Sans" w:hAnsi="Noto Sans" w:cs="Noto Sans"/>
          <w:b/>
          <w:bCs/>
          <w:sz w:val="20"/>
          <w:szCs w:val="20"/>
        </w:rPr>
        <w:t xml:space="preserve">E) </w:t>
      </w:r>
      <w:hyperlink w:anchor="_heading=h.4d34og8">
        <w:r>
          <w:rPr>
            <w:rFonts w:ascii="Noto Sans" w:eastAsia="Noto Sans" w:hAnsi="Noto Sans" w:cs="Noto Sans"/>
            <w:b/>
            <w:bCs/>
            <w:sz w:val="20"/>
            <w:szCs w:val="20"/>
          </w:rPr>
          <w:t>LOS FORMATOS ANEXOS, MEDIANTE LOS CUALES SE REALIZARÁ LA ENTREGA-RECEPCIÓN, SEGUIMIENTO, VALIDACIÓN Y AQUELLAS FUNCIONES QUE SE CONSIDEREN NECESARIAS PARA LA CORRECTA ADMINISTRACIÓN DE LA ENTREGA DE BIENES.</w:t>
        </w:r>
      </w:hyperlink>
      <w:r>
        <w:rPr>
          <w:rFonts w:ascii="Noto Sans" w:eastAsia="Noto Sans" w:hAnsi="Noto Sans" w:cs="Noto Sans"/>
          <w:b/>
          <w:bCs/>
          <w:sz w:val="20"/>
          <w:szCs w:val="20"/>
        </w:rPr>
        <w:t> </w:t>
      </w:r>
    </w:p>
    <w:p w14:paraId="000000FA" w14:textId="77777777" w:rsidR="00763B82" w:rsidRDefault="00763B82">
      <w:pPr>
        <w:keepNext/>
        <w:keepLines/>
        <w:jc w:val="both"/>
        <w:rPr>
          <w:rFonts w:ascii="Noto Sans" w:eastAsia="Noto Sans" w:hAnsi="Noto Sans" w:cs="Noto Sans"/>
          <w:sz w:val="20"/>
          <w:szCs w:val="20"/>
        </w:rPr>
      </w:pPr>
    </w:p>
    <w:tbl>
      <w:tblPr>
        <w:tblStyle w:val="aff0"/>
        <w:tblpPr w:leftFromText="180" w:rightFromText="180" w:topFromText="180" w:bottomFromText="180" w:vertAnchor="text" w:tblpX="711" w:tblpY="36"/>
        <w:tblW w:w="865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0"/>
        <w:gridCol w:w="7248"/>
      </w:tblGrid>
      <w:tr w:rsidR="00763B82" w14:paraId="40DCA10B" w14:textId="77777777">
        <w:trPr>
          <w:trHeight w:val="207"/>
        </w:trPr>
        <w:tc>
          <w:tcPr>
            <w:tcW w:w="8658" w:type="dxa"/>
            <w:gridSpan w:val="2"/>
            <w:shd w:val="clear" w:color="auto" w:fill="BFBFBF"/>
          </w:tcPr>
          <w:p w14:paraId="000000FB" w14:textId="77777777" w:rsidR="00763B82" w:rsidRDefault="00101471">
            <w:pPr>
              <w:jc w:val="center"/>
              <w:rPr>
                <w:rFonts w:ascii="Noto Sans" w:eastAsia="Noto Sans" w:hAnsi="Noto Sans" w:cs="Noto Sans"/>
                <w:sz w:val="20"/>
                <w:szCs w:val="20"/>
              </w:rPr>
            </w:pPr>
            <w:bookmarkStart w:id="12" w:name="_heading=h.5falb81ke6bn" w:colFirst="0" w:colLast="0"/>
            <w:bookmarkEnd w:id="12"/>
            <w:r>
              <w:rPr>
                <w:rFonts w:ascii="Noto Sans" w:eastAsia="Noto Sans" w:hAnsi="Noto Sans" w:cs="Noto Sans"/>
                <w:sz w:val="20"/>
                <w:szCs w:val="20"/>
              </w:rPr>
              <w:t>ANEXOS</w:t>
            </w:r>
          </w:p>
        </w:tc>
      </w:tr>
      <w:tr w:rsidR="00763B82" w14:paraId="6B1AF172" w14:textId="77777777">
        <w:tc>
          <w:tcPr>
            <w:tcW w:w="1410" w:type="dxa"/>
          </w:tcPr>
          <w:p w14:paraId="000000FD" w14:textId="77777777" w:rsidR="00763B82" w:rsidRDefault="00101471">
            <w:pPr>
              <w:jc w:val="center"/>
              <w:rPr>
                <w:rFonts w:ascii="Noto Sans" w:eastAsia="Noto Sans" w:hAnsi="Noto Sans" w:cs="Noto Sans"/>
                <w:sz w:val="20"/>
                <w:szCs w:val="20"/>
              </w:rPr>
            </w:pPr>
            <w:bookmarkStart w:id="13" w:name="_heading=h.2s8eyo1" w:colFirst="0" w:colLast="0"/>
            <w:bookmarkEnd w:id="13"/>
            <w:r>
              <w:rPr>
                <w:rFonts w:ascii="Noto Sans" w:eastAsia="Noto Sans" w:hAnsi="Noto Sans" w:cs="Noto Sans"/>
                <w:sz w:val="20"/>
                <w:szCs w:val="20"/>
              </w:rPr>
              <w:t xml:space="preserve">ANEXO 1 </w:t>
            </w:r>
          </w:p>
        </w:tc>
        <w:tc>
          <w:tcPr>
            <w:tcW w:w="7248" w:type="dxa"/>
          </w:tcPr>
          <w:p w14:paraId="000000FE" w14:textId="77777777" w:rsidR="00763B82" w:rsidRDefault="00101471">
            <w:pPr>
              <w:rPr>
                <w:rFonts w:ascii="Noto Sans" w:eastAsia="Noto Sans" w:hAnsi="Noto Sans" w:cs="Noto Sans"/>
                <w:sz w:val="20"/>
                <w:szCs w:val="20"/>
              </w:rPr>
            </w:pPr>
            <w:bookmarkStart w:id="14" w:name="_heading=h.17dp8vu" w:colFirst="0" w:colLast="0"/>
            <w:bookmarkEnd w:id="14"/>
            <w:r>
              <w:rPr>
                <w:rFonts w:ascii="Noto Sans" w:eastAsia="Noto Sans" w:hAnsi="Noto Sans" w:cs="Noto Sans"/>
                <w:sz w:val="20"/>
                <w:szCs w:val="20"/>
              </w:rPr>
              <w:t xml:space="preserve">“REQUERIMIENTO” </w:t>
            </w:r>
          </w:p>
        </w:tc>
      </w:tr>
      <w:tr w:rsidR="00763B82" w14:paraId="03AD8313" w14:textId="77777777">
        <w:tc>
          <w:tcPr>
            <w:tcW w:w="1410" w:type="dxa"/>
          </w:tcPr>
          <w:p w14:paraId="000000FF" w14:textId="77777777" w:rsidR="00763B82" w:rsidRDefault="00101471">
            <w:pPr>
              <w:jc w:val="center"/>
              <w:rPr>
                <w:rFonts w:ascii="Noto Sans" w:eastAsia="Noto Sans" w:hAnsi="Noto Sans" w:cs="Noto Sans"/>
                <w:sz w:val="20"/>
                <w:szCs w:val="20"/>
              </w:rPr>
            </w:pPr>
            <w:bookmarkStart w:id="15" w:name="_heading=h.lnxbz9" w:colFirst="0" w:colLast="0"/>
            <w:bookmarkEnd w:id="15"/>
            <w:r>
              <w:rPr>
                <w:rFonts w:ascii="Noto Sans" w:eastAsia="Noto Sans" w:hAnsi="Noto Sans" w:cs="Noto Sans"/>
                <w:sz w:val="20"/>
                <w:szCs w:val="20"/>
              </w:rPr>
              <w:t>ANEXO 2</w:t>
            </w:r>
          </w:p>
        </w:tc>
        <w:tc>
          <w:tcPr>
            <w:tcW w:w="7248" w:type="dxa"/>
          </w:tcPr>
          <w:p w14:paraId="00000100"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“DIRECTORIO DE UNIDADES MÉDICAS”</w:t>
            </w:r>
          </w:p>
        </w:tc>
      </w:tr>
      <w:tr w:rsidR="00763B82" w14:paraId="328A2FAB" w14:textId="77777777">
        <w:tc>
          <w:tcPr>
            <w:tcW w:w="1410" w:type="dxa"/>
          </w:tcPr>
          <w:p w14:paraId="00000101" w14:textId="77777777" w:rsidR="00763B82" w:rsidRDefault="00101471">
            <w:pPr>
              <w:jc w:val="center"/>
              <w:rPr>
                <w:rFonts w:ascii="Noto Sans" w:eastAsia="Noto Sans" w:hAnsi="Noto Sans" w:cs="Noto Sans"/>
                <w:sz w:val="20"/>
                <w:szCs w:val="20"/>
              </w:rPr>
            </w:pPr>
            <w:r>
              <w:rPr>
                <w:rFonts w:ascii="Noto Sans" w:eastAsia="Noto Sans" w:hAnsi="Noto Sans" w:cs="Noto Sans"/>
                <w:sz w:val="20"/>
                <w:szCs w:val="20"/>
              </w:rPr>
              <w:t>ANEXO 3</w:t>
            </w:r>
          </w:p>
        </w:tc>
        <w:tc>
          <w:tcPr>
            <w:tcW w:w="7248" w:type="dxa"/>
          </w:tcPr>
          <w:p w14:paraId="00000102"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“ACUERDO DE CONFIDENCIALIDAD”</w:t>
            </w:r>
          </w:p>
        </w:tc>
      </w:tr>
      <w:tr w:rsidR="00763B82" w14:paraId="7A537CB3" w14:textId="77777777">
        <w:trPr>
          <w:trHeight w:val="180"/>
        </w:trPr>
        <w:tc>
          <w:tcPr>
            <w:tcW w:w="1410" w:type="dxa"/>
          </w:tcPr>
          <w:p w14:paraId="00000103" w14:textId="77777777" w:rsidR="00763B82" w:rsidRDefault="00101471">
            <w:pPr>
              <w:jc w:val="center"/>
              <w:rPr>
                <w:rFonts w:ascii="Noto Sans" w:eastAsia="Noto Sans" w:hAnsi="Noto Sans" w:cs="Noto Sans"/>
                <w:sz w:val="20"/>
                <w:szCs w:val="20"/>
              </w:rPr>
            </w:pPr>
            <w:bookmarkStart w:id="16" w:name="_heading=h.1ksv4uv" w:colFirst="0" w:colLast="0"/>
            <w:bookmarkEnd w:id="16"/>
            <w:r>
              <w:rPr>
                <w:rFonts w:ascii="Noto Sans" w:eastAsia="Noto Sans" w:hAnsi="Noto Sans" w:cs="Noto Sans"/>
                <w:sz w:val="20"/>
                <w:szCs w:val="20"/>
              </w:rPr>
              <w:t>ANEXO 4</w:t>
            </w:r>
          </w:p>
        </w:tc>
        <w:tc>
          <w:tcPr>
            <w:tcW w:w="7248" w:type="dxa"/>
          </w:tcPr>
          <w:p w14:paraId="00000104" w14:textId="77777777" w:rsidR="00763B82" w:rsidRDefault="00101471">
            <w:pPr>
              <w:rPr>
                <w:rFonts w:ascii="Noto Sans" w:eastAsia="Noto Sans" w:hAnsi="Noto Sans" w:cs="Noto Sans"/>
                <w:sz w:val="20"/>
                <w:szCs w:val="20"/>
              </w:rPr>
            </w:pPr>
            <w:r>
              <w:rPr>
                <w:rFonts w:ascii="Noto Sans" w:eastAsia="Noto Sans" w:hAnsi="Noto Sans" w:cs="Noto Sans"/>
                <w:sz w:val="20"/>
                <w:szCs w:val="20"/>
              </w:rPr>
              <w:t>“CARTA COMPROMISO DE ENTREGA DE INSUMOS CON CADUCIDAD MÍNIMA DE 18 MESES”</w:t>
            </w:r>
          </w:p>
        </w:tc>
      </w:tr>
    </w:tbl>
    <w:p w14:paraId="00000105" w14:textId="77777777" w:rsidR="00763B82" w:rsidRDefault="00763B82">
      <w:pPr>
        <w:tabs>
          <w:tab w:val="left" w:pos="1263"/>
          <w:tab w:val="left" w:pos="1418"/>
          <w:tab w:val="left" w:pos="1560"/>
        </w:tabs>
        <w:jc w:val="both"/>
        <w:rPr>
          <w:rFonts w:ascii="Noto Sans" w:eastAsia="Noto Sans" w:hAnsi="Noto Sans" w:cs="Noto Sans"/>
          <w:b/>
          <w:bCs/>
          <w:sz w:val="20"/>
          <w:szCs w:val="20"/>
        </w:rPr>
      </w:pPr>
    </w:p>
    <w:p w14:paraId="00000106"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17" w:name="_heading=h.gaur42rd1cr" w:colFirst="0" w:colLast="0"/>
      <w:bookmarkEnd w:id="17"/>
    </w:p>
    <w:p w14:paraId="00000107"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18" w:name="_heading=h.f11bc6vkvvmd" w:colFirst="0" w:colLast="0"/>
      <w:bookmarkEnd w:id="18"/>
    </w:p>
    <w:p w14:paraId="00000108"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19" w:name="_heading=h.b16h23cn0bs8" w:colFirst="0" w:colLast="0"/>
      <w:bookmarkEnd w:id="19"/>
    </w:p>
    <w:p w14:paraId="00000109"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20" w:name="_heading=h.attwn4waslda" w:colFirst="0" w:colLast="0"/>
      <w:bookmarkEnd w:id="20"/>
    </w:p>
    <w:p w14:paraId="0000010A"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21" w:name="_heading=h.g0pekvxggb2" w:colFirst="0" w:colLast="0"/>
      <w:bookmarkEnd w:id="21"/>
    </w:p>
    <w:p w14:paraId="0000010B"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22" w:name="_heading=h.400wj7wibkc1" w:colFirst="0" w:colLast="0"/>
      <w:bookmarkEnd w:id="22"/>
    </w:p>
    <w:p w14:paraId="0000010C" w14:textId="77777777" w:rsidR="00763B82" w:rsidRDefault="00763B82">
      <w:pPr>
        <w:tabs>
          <w:tab w:val="left" w:pos="1263"/>
          <w:tab w:val="left" w:pos="1418"/>
          <w:tab w:val="left" w:pos="1560"/>
        </w:tabs>
        <w:jc w:val="both"/>
        <w:rPr>
          <w:rFonts w:ascii="Noto Sans" w:eastAsia="Noto Sans" w:hAnsi="Noto Sans" w:cs="Noto Sans"/>
          <w:b/>
          <w:bCs/>
          <w:sz w:val="20"/>
          <w:szCs w:val="20"/>
        </w:rPr>
      </w:pPr>
      <w:bookmarkStart w:id="23" w:name="_heading=h.invkxiq8minh" w:colFirst="0" w:colLast="0"/>
      <w:bookmarkEnd w:id="23"/>
    </w:p>
    <w:p w14:paraId="0000010D" w14:textId="77777777" w:rsidR="00763B82" w:rsidRDefault="00101471">
      <w:pPr>
        <w:tabs>
          <w:tab w:val="left" w:pos="1263"/>
          <w:tab w:val="left" w:pos="1418"/>
          <w:tab w:val="left" w:pos="1560"/>
        </w:tabs>
        <w:jc w:val="both"/>
        <w:rPr>
          <w:rFonts w:ascii="Noto Sans" w:eastAsia="Noto Sans" w:hAnsi="Noto Sans" w:cs="Noto Sans"/>
          <w:b/>
          <w:bCs/>
          <w:sz w:val="20"/>
          <w:szCs w:val="20"/>
        </w:rPr>
      </w:pPr>
      <w:bookmarkStart w:id="24" w:name="_heading=h.44sinio" w:colFirst="0" w:colLast="0"/>
      <w:bookmarkEnd w:id="24"/>
      <w:r>
        <w:rPr>
          <w:rFonts w:ascii="Noto Sans" w:eastAsia="Noto Sans" w:hAnsi="Noto Sans" w:cs="Noto Sans"/>
          <w:b/>
          <w:bCs/>
          <w:sz w:val="20"/>
          <w:szCs w:val="20"/>
        </w:rPr>
        <w:lastRenderedPageBreak/>
        <w:t xml:space="preserve">F) EN LOS CASOS DONDE SE HAYA GENERADO INFORMACIÓN, ESTUDIOS, FORMATOS U OTROS, POR PARTE DEL LICITANTE ADJUDICADO QUE PERTENEZCAN A IMSS-BIENESTAR, SE DEBERÁ DETERMINAR A LOS RESPONSABLES Y LOS MEDIOS POR LOS QUE EL LICITANTE ADJUDICADO SALIENTE DEBERÁ HACER LA ENTREGA DE </w:t>
      </w:r>
      <w:proofErr w:type="gramStart"/>
      <w:r>
        <w:rPr>
          <w:rFonts w:ascii="Noto Sans" w:eastAsia="Noto Sans" w:hAnsi="Noto Sans" w:cs="Noto Sans"/>
          <w:b/>
          <w:bCs/>
          <w:sz w:val="20"/>
          <w:szCs w:val="20"/>
        </w:rPr>
        <w:t>LOS MISMOS</w:t>
      </w:r>
      <w:proofErr w:type="gramEnd"/>
      <w:r>
        <w:rPr>
          <w:rFonts w:ascii="Noto Sans" w:eastAsia="Noto Sans" w:hAnsi="Noto Sans" w:cs="Noto Sans"/>
          <w:b/>
          <w:bCs/>
          <w:sz w:val="20"/>
          <w:szCs w:val="20"/>
        </w:rPr>
        <w:t>, EL PERIODO DE ENTREGA, LAS CARACTERÍSTICAS Y ESPECIFICACIONES PARA LA MISMA.</w:t>
      </w:r>
    </w:p>
    <w:p w14:paraId="0000010E" w14:textId="77777777" w:rsidR="00763B82" w:rsidRDefault="00101471">
      <w:pPr>
        <w:spacing w:before="240" w:after="240"/>
        <w:jc w:val="both"/>
        <w:rPr>
          <w:rFonts w:ascii="Noto Sans" w:eastAsia="Noto Sans" w:hAnsi="Noto Sans" w:cs="Noto Sans"/>
          <w:b/>
          <w:bCs/>
          <w:sz w:val="20"/>
          <w:szCs w:val="20"/>
        </w:rPr>
      </w:pPr>
      <w:r>
        <w:rPr>
          <w:rFonts w:ascii="Noto Sans" w:eastAsia="Noto Sans" w:hAnsi="Noto Sans" w:cs="Noto Sans"/>
          <w:sz w:val="20"/>
          <w:szCs w:val="20"/>
        </w:rPr>
        <w:t xml:space="preserve">El Proveedor que resulte adjudicado se obliga a no divulgar por escrito, verbalmente o por cualquier otro medio la información que obtenga para el cumplimiento del contrato y mantener en la más estricta confidencialidad, los resultados parciales y finales de este, absteniéndose de dar a conocer cualquier información al respecto, de conformidad con el </w:t>
      </w:r>
      <w:r>
        <w:rPr>
          <w:rFonts w:ascii="Noto Sans" w:eastAsia="Noto Sans" w:hAnsi="Noto Sans" w:cs="Noto Sans"/>
          <w:b/>
          <w:bCs/>
          <w:sz w:val="20"/>
          <w:szCs w:val="20"/>
        </w:rPr>
        <w:t>ANEXO 3 “ACUERDO DE CONFIDENCIALIDAD”.</w:t>
      </w:r>
    </w:p>
    <w:p w14:paraId="0000010F" w14:textId="77777777" w:rsidR="00763B82" w:rsidRDefault="00101471">
      <w:pPr>
        <w:spacing w:before="240" w:after="240"/>
        <w:jc w:val="both"/>
        <w:rPr>
          <w:rFonts w:ascii="Noto Sans" w:eastAsia="Noto Sans" w:hAnsi="Noto Sans" w:cs="Noto Sans"/>
          <w:sz w:val="20"/>
          <w:szCs w:val="20"/>
          <w:highlight w:val="white"/>
        </w:rPr>
      </w:pPr>
      <w:r>
        <w:rPr>
          <w:rFonts w:ascii="Noto Sans" w:eastAsia="Noto Sans" w:hAnsi="Noto Sans" w:cs="Noto Sans"/>
          <w:sz w:val="20"/>
          <w:szCs w:val="20"/>
          <w:highlight w:val="white"/>
        </w:rPr>
        <w:t>La información contenida en el contrato es pública, de conformidad con lo dispuesto en los artículos 1, 24, fracción VI, y 70, fracción XXVIII, de la Ley General de Transparencia y Acceso a la Información Pública; sin embargo, la información que proporcione el Organismo al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Organismo con el mismo empeño y cuidado que tiene respecto de su propia información confidencial, así como hacer cumplir a todos y cada uno de los usuarios autorizados a los que les entregue o permita acceso a la información confidencial, en los términos del mencionado contrato.</w:t>
      </w:r>
    </w:p>
    <w:p w14:paraId="00000110"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 IMSS-BIENESTAR.</w:t>
      </w:r>
    </w:p>
    <w:p w14:paraId="00000111"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Cuando concluya la vigencia del contrato, subsistirá la obligación de confidencialidad sobre los servicios solicitados en este instrumento legal y de los insumos utilizados para la prestación de los servicios.</w:t>
      </w:r>
    </w:p>
    <w:p w14:paraId="00000112"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En caso de incumplimiento a lo establecido, el proveedor tiene conocimiento de que el Organismo podrá ejecutar o tramitar las sanciones correspondientes.</w:t>
      </w:r>
    </w:p>
    <w:p w14:paraId="00000113"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 xml:space="preserve">Por otra parte, el prestador del servicio saliente deberá realizar la integración de toda la información que se tenga en el sistema de información del contrato correspondiente ya concluido, incluyendo histórico de pacientes, y resultados de estudios, y la deberá entregar al jefe o Encargado del Servicio en un plazo no mayor a </w:t>
      </w:r>
      <w:r>
        <w:rPr>
          <w:rFonts w:ascii="Noto Sans" w:eastAsia="Noto Sans" w:hAnsi="Noto Sans" w:cs="Noto Sans"/>
          <w:b/>
          <w:bCs/>
          <w:sz w:val="20"/>
          <w:szCs w:val="20"/>
        </w:rPr>
        <w:t xml:space="preserve">10 días naturales </w:t>
      </w:r>
      <w:r>
        <w:rPr>
          <w:rFonts w:ascii="Noto Sans" w:eastAsia="Noto Sans" w:hAnsi="Noto Sans" w:cs="Noto Sans"/>
          <w:sz w:val="20"/>
          <w:szCs w:val="20"/>
        </w:rPr>
        <w:t xml:space="preserve">posteriores al término de la vigencia del contrato.  </w:t>
      </w:r>
    </w:p>
    <w:p w14:paraId="00000114" w14:textId="77777777" w:rsidR="00763B82" w:rsidRDefault="00763B82">
      <w:pPr>
        <w:jc w:val="both"/>
        <w:rPr>
          <w:rFonts w:ascii="Noto Sans" w:eastAsia="Noto Sans" w:hAnsi="Noto Sans" w:cs="Noto Sans"/>
          <w:sz w:val="20"/>
          <w:szCs w:val="20"/>
        </w:rPr>
      </w:pPr>
    </w:p>
    <w:p w14:paraId="00000115" w14:textId="77777777" w:rsidR="00763B82" w:rsidRDefault="00101471">
      <w:pPr>
        <w:keepNext/>
        <w:keepLines/>
        <w:jc w:val="both"/>
        <w:rPr>
          <w:rFonts w:ascii="Noto Sans" w:eastAsia="Noto Sans" w:hAnsi="Noto Sans" w:cs="Noto Sans"/>
          <w:b/>
          <w:bCs/>
          <w:sz w:val="20"/>
          <w:szCs w:val="20"/>
        </w:rPr>
      </w:pPr>
      <w:bookmarkStart w:id="25" w:name="_heading=h.2jxsxqh" w:colFirst="0" w:colLast="0"/>
      <w:bookmarkEnd w:id="25"/>
      <w:r>
        <w:rPr>
          <w:rFonts w:ascii="Noto Sans" w:eastAsia="Noto Sans" w:hAnsi="Noto Sans" w:cs="Noto Sans"/>
          <w:b/>
          <w:bCs/>
          <w:sz w:val="20"/>
          <w:szCs w:val="20"/>
        </w:rPr>
        <w:lastRenderedPageBreak/>
        <w:t xml:space="preserve">G) </w:t>
      </w:r>
      <w:hyperlink w:anchor="_heading=h.2jxsxqh">
        <w:r>
          <w:rPr>
            <w:rFonts w:ascii="Noto Sans" w:eastAsia="Noto Sans" w:hAnsi="Noto Sans" w:cs="Noto Sans"/>
            <w:b/>
            <w:bCs/>
            <w:sz w:val="20"/>
            <w:szCs w:val="20"/>
          </w:rPr>
          <w:t>EN CASO DE QUE SE REQUIERAN PRUEBAS, DEBERÁ INDICAR EL MÉTODO DE EVALUACIÓN, EL RESPONSABLE DE LLEVARLAS A CABO, EL TIEMPO REQUERIDO PARA SU REALIZACIÓN, LA UNIDAD DE MEDIDA CON LA CUAL SE DETERMINARÁ Y EL RESULTADO MÍNIMO QUE DEBE OBTENERSE AL EJECUTAR LAS PRUEBAS, SI SE REQUIERE VERIFICAR EL CUMPLIMIENTO DE LAS ESPECIFICACIONES SOLICITADAS DE ACUERDO CON EL PROCEDIMIENTO QUE RESULTE APLICABLE.  DICHA COMPROBACIÓN SERÁ ELABORADA POR EL ÁREA TÉCNICA.</w:t>
        </w:r>
      </w:hyperlink>
      <w:r>
        <w:rPr>
          <w:rFonts w:ascii="Noto Sans" w:eastAsia="Noto Sans" w:hAnsi="Noto Sans" w:cs="Noto Sans"/>
          <w:b/>
          <w:bCs/>
          <w:sz w:val="20"/>
          <w:szCs w:val="20"/>
        </w:rPr>
        <w:t> </w:t>
      </w:r>
    </w:p>
    <w:p w14:paraId="00000116" w14:textId="77777777" w:rsidR="00763B82" w:rsidRDefault="00763B82">
      <w:pPr>
        <w:keepNext/>
        <w:keepLines/>
        <w:jc w:val="both"/>
        <w:rPr>
          <w:rFonts w:ascii="Noto Sans" w:eastAsia="Noto Sans" w:hAnsi="Noto Sans" w:cs="Noto Sans"/>
          <w:b/>
          <w:bCs/>
          <w:sz w:val="20"/>
          <w:szCs w:val="20"/>
        </w:rPr>
      </w:pPr>
      <w:bookmarkStart w:id="26" w:name="_heading=h.a2qwbp7weell" w:colFirst="0" w:colLast="0"/>
      <w:bookmarkEnd w:id="26"/>
    </w:p>
    <w:p w14:paraId="00000117"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No aplica.</w:t>
      </w:r>
    </w:p>
    <w:p w14:paraId="00000118" w14:textId="77777777" w:rsidR="00763B82" w:rsidRDefault="00763B82">
      <w:pPr>
        <w:jc w:val="both"/>
        <w:rPr>
          <w:rFonts w:ascii="Noto Sans" w:eastAsia="Noto Sans" w:hAnsi="Noto Sans" w:cs="Noto Sans"/>
          <w:sz w:val="20"/>
          <w:szCs w:val="20"/>
        </w:rPr>
      </w:pPr>
    </w:p>
    <w:p w14:paraId="00000119" w14:textId="77777777" w:rsidR="00763B82" w:rsidRDefault="00101471">
      <w:pPr>
        <w:keepNext/>
        <w:keepLines/>
        <w:jc w:val="both"/>
        <w:rPr>
          <w:rFonts w:ascii="Noto Sans" w:eastAsia="Noto Sans" w:hAnsi="Noto Sans" w:cs="Noto Sans"/>
          <w:b/>
          <w:bCs/>
          <w:sz w:val="20"/>
          <w:szCs w:val="20"/>
        </w:rPr>
      </w:pPr>
      <w:bookmarkStart w:id="27" w:name="_heading=h.z337ya" w:colFirst="0" w:colLast="0"/>
      <w:bookmarkEnd w:id="27"/>
      <w:r>
        <w:rPr>
          <w:rFonts w:ascii="Noto Sans" w:eastAsia="Noto Sans" w:hAnsi="Noto Sans" w:cs="Noto Sans"/>
          <w:b/>
          <w:bCs/>
          <w:sz w:val="20"/>
          <w:szCs w:val="20"/>
        </w:rPr>
        <w:t>H) EN AQUELLOS CASOS EN QUE EL ÁREA REQUIRENTE MODIFIQUE LA ESPECIFICACIÓN TÉCNICA DE ALGÚN BIEN QUE NO SE ENCUENTRE REGULADO POR EL COMPENDIO NACIONAL DE INSUMOS PARA LA SALUD EXPEDIDO POR EL CONSEJO DE SALUBRIDAD GENERAL, RESPECTO DE LAS ESPECIFICACIONES ESTIPULADAS PARA ESE MISMO BIEN EN EL EJERCICIO ANTERIOR, DEBERÁ ACOMPAÑAR A SU REQUISICIÓN, UN DICTAMEN MEDIANTE EL CUAL EL ÁREA TÉCNICA ACREDITA QUE CON ELLO NO SE LIMITA LA LIBRE PARTICIPACIÓN, CONCURRENCIA Y COMPETENCIA ECONÓMICA. </w:t>
      </w:r>
    </w:p>
    <w:p w14:paraId="0000011A" w14:textId="77777777" w:rsidR="00763B82" w:rsidRDefault="00101471">
      <w:pPr>
        <w:keepNext/>
        <w:keepLines/>
        <w:jc w:val="both"/>
        <w:rPr>
          <w:rFonts w:ascii="Noto Sans" w:eastAsia="Noto Sans" w:hAnsi="Noto Sans" w:cs="Noto Sans"/>
          <w:sz w:val="20"/>
          <w:szCs w:val="20"/>
        </w:rPr>
      </w:pPr>
      <w:bookmarkStart w:id="28" w:name="_heading=h.sni1viobq4i0" w:colFirst="0" w:colLast="0"/>
      <w:bookmarkEnd w:id="28"/>
      <w:r>
        <w:rPr>
          <w:rFonts w:ascii="Noto Sans" w:eastAsia="Noto Sans" w:hAnsi="Noto Sans" w:cs="Noto Sans"/>
          <w:sz w:val="20"/>
          <w:szCs w:val="20"/>
        </w:rPr>
        <w:br/>
        <w:t>No aplica.</w:t>
      </w:r>
    </w:p>
    <w:p w14:paraId="0000011B" w14:textId="77777777" w:rsidR="00763B82" w:rsidRDefault="00763B82">
      <w:pPr>
        <w:keepNext/>
        <w:keepLines/>
        <w:jc w:val="both"/>
        <w:rPr>
          <w:rFonts w:ascii="Noto Sans" w:eastAsia="Noto Sans" w:hAnsi="Noto Sans" w:cs="Noto Sans"/>
          <w:sz w:val="20"/>
          <w:szCs w:val="20"/>
        </w:rPr>
      </w:pPr>
    </w:p>
    <w:p w14:paraId="0000011C" w14:textId="77777777" w:rsidR="00763B82" w:rsidRDefault="00763B82">
      <w:pPr>
        <w:keepNext/>
        <w:keepLines/>
        <w:jc w:val="both"/>
        <w:rPr>
          <w:rFonts w:ascii="Noto Sans" w:eastAsia="Noto Sans" w:hAnsi="Noto Sans" w:cs="Noto Sans"/>
          <w:sz w:val="20"/>
          <w:szCs w:val="20"/>
        </w:rPr>
      </w:pPr>
    </w:p>
    <w:p w14:paraId="0000011D" w14:textId="77777777" w:rsidR="00763B82" w:rsidRDefault="00101471">
      <w:pPr>
        <w:spacing w:after="160" w:line="259" w:lineRule="auto"/>
        <w:jc w:val="both"/>
        <w:rPr>
          <w:rFonts w:ascii="Noto Sans" w:eastAsia="Noto Sans" w:hAnsi="Noto Sans" w:cs="Noto Sans"/>
          <w:b/>
          <w:bCs/>
          <w:sz w:val="20"/>
          <w:szCs w:val="20"/>
        </w:rPr>
      </w:pPr>
      <w:bookmarkStart w:id="29" w:name="_heading=h.3j2qqm3" w:colFirst="0" w:colLast="0"/>
      <w:bookmarkEnd w:id="29"/>
      <w:r>
        <w:rPr>
          <w:rFonts w:ascii="Noto Sans" w:eastAsia="Noto Sans" w:hAnsi="Noto Sans" w:cs="Noto Sans"/>
          <w:b/>
          <w:bCs/>
          <w:sz w:val="20"/>
          <w:szCs w:val="20"/>
        </w:rPr>
        <w:t xml:space="preserve">I) NORMAS: OFICIAL MEXICANA, ESTÁNDAR (ANTES MEXICANA), INTERNACIONAL, DE REFERENCIA O ESPECIFICACIÓN TÉCNICA, QUE RESULTE APLICABLE A LOS BIENES O SERVICIOS REQUERIDOS, CONFORME A LA LIC CON BASE EN LO SEÑALADO EN EL NUMERAL 4.25.2 DE LAS PRESENTES POBALINES Y, EN SU CASO, EN EL REGISTRO SANITARIO CORRESPONDIENTE. </w:t>
      </w:r>
    </w:p>
    <w:p w14:paraId="0000011E" w14:textId="77777777" w:rsidR="00763B82" w:rsidRDefault="00763B82">
      <w:pPr>
        <w:spacing w:after="160" w:line="259" w:lineRule="auto"/>
        <w:ind w:left="1440"/>
        <w:jc w:val="both"/>
        <w:rPr>
          <w:rFonts w:ascii="Noto Sans" w:eastAsia="Noto Sans" w:hAnsi="Noto Sans" w:cs="Noto Sans"/>
          <w:b/>
          <w:bCs/>
          <w:sz w:val="20"/>
          <w:szCs w:val="20"/>
        </w:rPr>
      </w:pPr>
    </w:p>
    <w:p w14:paraId="0000011F" w14:textId="77777777" w:rsidR="00763B82" w:rsidRDefault="00101471">
      <w:pPr>
        <w:spacing w:after="160" w:line="259" w:lineRule="auto"/>
        <w:jc w:val="both"/>
        <w:rPr>
          <w:rFonts w:ascii="Noto Sans" w:eastAsia="Noto Sans" w:hAnsi="Noto Sans" w:cs="Noto Sans"/>
          <w:b/>
          <w:bCs/>
          <w:sz w:val="20"/>
          <w:szCs w:val="20"/>
        </w:rPr>
      </w:pPr>
      <w:r>
        <w:rPr>
          <w:rFonts w:ascii="Noto Sans" w:eastAsia="Noto Sans" w:hAnsi="Noto Sans" w:cs="Noto Sans"/>
          <w:b/>
          <w:bCs/>
          <w:sz w:val="20"/>
          <w:szCs w:val="20"/>
        </w:rPr>
        <w:t>De conformidad con los artículos 75, 55 y 155, fracción II, de la Ley de Infraestructura de Calidad; 31 del Reglamento de la Ley de Adquisiciones, Arrendamientos y Servicios del Sector Público; así como del numeral 4.21.3, inciso i), de las POBALINES, durante la vigencia de la prestación del servicio el prestador del servicio tendrá la obligación de dar cumplimiento de las Normas Oficiales señaladas en el Anexo Técnico, tales como:</w:t>
      </w:r>
    </w:p>
    <w:p w14:paraId="00000120" w14:textId="77777777" w:rsidR="00763B82" w:rsidRDefault="00763B82">
      <w:pPr>
        <w:spacing w:after="160" w:line="259" w:lineRule="auto"/>
        <w:ind w:left="1440"/>
        <w:jc w:val="both"/>
        <w:rPr>
          <w:rFonts w:ascii="Noto Sans" w:eastAsia="Noto Sans" w:hAnsi="Noto Sans" w:cs="Noto Sans"/>
          <w:b/>
          <w:bCs/>
          <w:sz w:val="20"/>
          <w:szCs w:val="20"/>
        </w:rPr>
      </w:pPr>
    </w:p>
    <w:p w14:paraId="00000121" w14:textId="1B469075" w:rsidR="00763B82" w:rsidRDefault="00000000" w:rsidP="00F67160">
      <w:pPr>
        <w:pBdr>
          <w:top w:val="nil"/>
          <w:left w:val="nil"/>
          <w:bottom w:val="nil"/>
          <w:right w:val="nil"/>
          <w:between w:val="nil"/>
        </w:pBdr>
        <w:spacing w:line="259" w:lineRule="auto"/>
        <w:ind w:left="1080"/>
        <w:jc w:val="both"/>
        <w:rPr>
          <w:rFonts w:ascii="Noto Sans" w:eastAsia="Noto Sans" w:hAnsi="Noto Sans" w:cs="Noto Sans"/>
          <w:b/>
          <w:bCs/>
          <w:color w:val="000000"/>
          <w:sz w:val="20"/>
          <w:szCs w:val="20"/>
          <w:highlight w:val="green"/>
        </w:rPr>
      </w:pPr>
      <w:sdt>
        <w:sdtPr>
          <w:tag w:val="goog_rdk_7"/>
          <w:id w:val="2073198260"/>
        </w:sdtPr>
        <w:sdtContent/>
      </w:sdt>
    </w:p>
    <w:p w14:paraId="00000122" w14:textId="77777777" w:rsidR="00763B82" w:rsidRDefault="00101471">
      <w:pPr>
        <w:numPr>
          <w:ilvl w:val="0"/>
          <w:numId w:val="3"/>
        </w:numPr>
        <w:pBdr>
          <w:top w:val="nil"/>
          <w:left w:val="nil"/>
          <w:bottom w:val="nil"/>
          <w:right w:val="nil"/>
          <w:between w:val="nil"/>
        </w:pBdr>
        <w:spacing w:line="259" w:lineRule="auto"/>
        <w:jc w:val="both"/>
        <w:rPr>
          <w:rFonts w:ascii="Noto Sans" w:eastAsia="Noto Sans" w:hAnsi="Noto Sans" w:cs="Noto Sans"/>
          <w:b/>
          <w:bCs/>
          <w:color w:val="000000"/>
          <w:sz w:val="20"/>
          <w:szCs w:val="20"/>
        </w:rPr>
      </w:pPr>
      <w:r>
        <w:rPr>
          <w:rFonts w:ascii="Noto Sans" w:eastAsia="Noto Sans" w:hAnsi="Noto Sans" w:cs="Noto Sans"/>
          <w:b/>
          <w:bCs/>
          <w:color w:val="000000"/>
          <w:sz w:val="20"/>
          <w:szCs w:val="20"/>
        </w:rPr>
        <w:t>NOM-137-SSA1-2008, ETIQUETADO DE DISPOSITIVOS MÉDICOS.</w:t>
      </w:r>
    </w:p>
    <w:p w14:paraId="00000123" w14:textId="77777777" w:rsidR="00763B82" w:rsidRDefault="00101471">
      <w:pPr>
        <w:numPr>
          <w:ilvl w:val="0"/>
          <w:numId w:val="3"/>
        </w:numPr>
        <w:pBdr>
          <w:top w:val="nil"/>
          <w:left w:val="nil"/>
          <w:bottom w:val="nil"/>
          <w:right w:val="nil"/>
          <w:between w:val="nil"/>
        </w:pBdr>
        <w:spacing w:line="259" w:lineRule="auto"/>
        <w:jc w:val="both"/>
        <w:rPr>
          <w:rFonts w:ascii="Noto Sans" w:eastAsia="Noto Sans" w:hAnsi="Noto Sans" w:cs="Noto Sans"/>
          <w:b/>
          <w:bCs/>
          <w:color w:val="000000"/>
          <w:sz w:val="20"/>
          <w:szCs w:val="20"/>
        </w:rPr>
      </w:pPr>
      <w:r>
        <w:rPr>
          <w:rFonts w:ascii="Noto Sans" w:eastAsia="Noto Sans" w:hAnsi="Noto Sans" w:cs="Noto Sans"/>
          <w:b/>
          <w:bCs/>
          <w:color w:val="000000"/>
          <w:sz w:val="20"/>
          <w:szCs w:val="20"/>
        </w:rPr>
        <w:t>NOM-240-SSA1-2012, INSTALACIÓN Y OPERACIÓN DE LA TECNOVIGILANCIA.</w:t>
      </w:r>
    </w:p>
    <w:p w14:paraId="00000124" w14:textId="77777777" w:rsidR="00763B82" w:rsidRDefault="00101471">
      <w:pPr>
        <w:numPr>
          <w:ilvl w:val="0"/>
          <w:numId w:val="3"/>
        </w:numPr>
        <w:pBdr>
          <w:top w:val="nil"/>
          <w:left w:val="nil"/>
          <w:bottom w:val="nil"/>
          <w:right w:val="nil"/>
          <w:between w:val="nil"/>
        </w:pBdr>
        <w:spacing w:line="259" w:lineRule="auto"/>
        <w:jc w:val="both"/>
        <w:rPr>
          <w:rFonts w:ascii="Noto Sans" w:eastAsia="Noto Sans" w:hAnsi="Noto Sans" w:cs="Noto Sans"/>
          <w:b/>
          <w:bCs/>
          <w:color w:val="000000"/>
          <w:sz w:val="20"/>
          <w:szCs w:val="20"/>
        </w:rPr>
      </w:pPr>
      <w:r>
        <w:rPr>
          <w:rFonts w:ascii="Noto Sans" w:eastAsia="Noto Sans" w:hAnsi="Noto Sans" w:cs="Noto Sans"/>
          <w:b/>
          <w:bCs/>
          <w:color w:val="000000"/>
          <w:sz w:val="20"/>
          <w:szCs w:val="20"/>
        </w:rPr>
        <w:t>NOM-241-SSA1-2012, BUENAS PRÁCTICAS DE FABRICACIÓN PARA ESTABLECIMIENTOS DEDICADOS A LA FABRICACIÓN DE DISPOSITIVOS MÉDICOS. (FABRICACIÓN EN EL PAÍS).</w:t>
      </w:r>
    </w:p>
    <w:p w14:paraId="00000125" w14:textId="77777777" w:rsidR="00763B82" w:rsidRDefault="00101471">
      <w:pPr>
        <w:numPr>
          <w:ilvl w:val="0"/>
          <w:numId w:val="3"/>
        </w:numPr>
        <w:pBdr>
          <w:top w:val="nil"/>
          <w:left w:val="nil"/>
          <w:bottom w:val="nil"/>
          <w:right w:val="nil"/>
          <w:between w:val="nil"/>
        </w:pBdr>
        <w:spacing w:line="259" w:lineRule="auto"/>
        <w:jc w:val="both"/>
        <w:rPr>
          <w:rFonts w:ascii="Noto Sans" w:eastAsia="Noto Sans" w:hAnsi="Noto Sans" w:cs="Noto Sans"/>
          <w:b/>
          <w:bCs/>
          <w:color w:val="000000"/>
          <w:sz w:val="20"/>
          <w:szCs w:val="20"/>
        </w:rPr>
      </w:pPr>
      <w:r>
        <w:rPr>
          <w:rFonts w:ascii="Noto Sans" w:eastAsia="Noto Sans" w:hAnsi="Noto Sans" w:cs="Noto Sans"/>
          <w:b/>
          <w:bCs/>
          <w:color w:val="000000"/>
          <w:sz w:val="20"/>
          <w:szCs w:val="20"/>
        </w:rPr>
        <w:t>ISO 13485: 2003 (Fabricación en el extranjero).</w:t>
      </w:r>
    </w:p>
    <w:p w14:paraId="00000126" w14:textId="77777777" w:rsidR="00763B82" w:rsidRDefault="00101471">
      <w:pPr>
        <w:numPr>
          <w:ilvl w:val="0"/>
          <w:numId w:val="3"/>
        </w:numPr>
        <w:pBdr>
          <w:top w:val="nil"/>
          <w:left w:val="nil"/>
          <w:bottom w:val="nil"/>
          <w:right w:val="nil"/>
          <w:between w:val="nil"/>
        </w:pBdr>
        <w:spacing w:after="160" w:line="259" w:lineRule="auto"/>
        <w:jc w:val="both"/>
        <w:rPr>
          <w:rFonts w:ascii="Noto Sans" w:eastAsia="Noto Sans" w:hAnsi="Noto Sans" w:cs="Noto Sans"/>
          <w:b/>
          <w:bCs/>
          <w:color w:val="000000"/>
          <w:sz w:val="20"/>
          <w:szCs w:val="20"/>
        </w:rPr>
      </w:pPr>
      <w:r>
        <w:rPr>
          <w:rFonts w:ascii="Noto Sans" w:eastAsia="Noto Sans" w:hAnsi="Noto Sans" w:cs="Noto Sans"/>
          <w:b/>
          <w:bCs/>
          <w:color w:val="000000"/>
          <w:sz w:val="20"/>
          <w:szCs w:val="20"/>
        </w:rPr>
        <w:t xml:space="preserve">DEBERÁ DE ENTREGAR COPIA SIMPLE DE REGISTRO SANITARIO VIGENTE INDICADO LA O LAS PARTIDAS APLICABLES, EN CASO CONTRARIO DEBERÁ MOSTRAR EN COPIA SIMPLE SOLICITUD DE PRÓRROGA EMITIDA POR LA COMISIÓN FEDERAL PARA LA PROTECCIÓN </w:t>
      </w:r>
      <w:r>
        <w:rPr>
          <w:rFonts w:ascii="Noto Sans" w:eastAsia="Noto Sans" w:hAnsi="Noto Sans" w:cs="Noto Sans"/>
          <w:b/>
          <w:bCs/>
          <w:color w:val="000000"/>
          <w:sz w:val="20"/>
          <w:szCs w:val="20"/>
        </w:rPr>
        <w:lastRenderedPageBreak/>
        <w:t xml:space="preserve">CONTRA RIESGOS SANITARIOS (COFEPRIS) O COMPROBAR LA NO NECESIDAD DE REGISTRO </w:t>
      </w:r>
      <w:r>
        <w:rPr>
          <w:rFonts w:ascii="Noto Sans" w:eastAsia="Noto Sans" w:hAnsi="Noto Sans" w:cs="Noto Sans"/>
          <w:b/>
          <w:bCs/>
          <w:sz w:val="20"/>
          <w:szCs w:val="20"/>
        </w:rPr>
        <w:t>SANITARIO PARA INSUMOS DE BAJO RIESGO.</w:t>
      </w:r>
    </w:p>
    <w:p w14:paraId="00000127" w14:textId="77777777" w:rsidR="00763B82" w:rsidRPr="00F67160" w:rsidRDefault="00000000">
      <w:pPr>
        <w:numPr>
          <w:ilvl w:val="0"/>
          <w:numId w:val="3"/>
        </w:numPr>
        <w:pBdr>
          <w:top w:val="nil"/>
          <w:left w:val="nil"/>
          <w:bottom w:val="nil"/>
          <w:right w:val="nil"/>
          <w:between w:val="nil"/>
        </w:pBdr>
        <w:spacing w:after="160" w:line="259" w:lineRule="auto"/>
        <w:jc w:val="both"/>
        <w:rPr>
          <w:rFonts w:ascii="Noto Sans" w:eastAsia="Noto Sans" w:hAnsi="Noto Sans" w:cs="Noto Sans"/>
          <w:b/>
          <w:bCs/>
          <w:sz w:val="20"/>
          <w:szCs w:val="20"/>
        </w:rPr>
      </w:pPr>
      <w:sdt>
        <w:sdtPr>
          <w:tag w:val="goog_rdk_8"/>
          <w:id w:val="1784997916"/>
        </w:sdtPr>
        <w:sdtContent/>
      </w:sdt>
      <w:r w:rsidR="00101471" w:rsidRPr="00F67160">
        <w:rPr>
          <w:rFonts w:ascii="Noto Sans" w:eastAsia="Noto Sans" w:hAnsi="Noto Sans" w:cs="Noto Sans"/>
          <w:b/>
          <w:bCs/>
          <w:sz w:val="20"/>
          <w:szCs w:val="20"/>
        </w:rPr>
        <w:t>NORMA OFICIAL MEXICANA NOM-052-SEMARNAT-2005, QUE ESTABLECE LAS CARACTERÍSTICAS, EL PROCEDIMIENTO DE IDENTIFICACIÓN, CLASIFICACIÓN Y LOS LISTADOS DE LOS RESIDUOS PELIGROSOS.</w:t>
      </w:r>
    </w:p>
    <w:p w14:paraId="00000128" w14:textId="77777777" w:rsidR="00763B82" w:rsidRDefault="00763B82">
      <w:pPr>
        <w:pBdr>
          <w:top w:val="nil"/>
          <w:left w:val="nil"/>
          <w:bottom w:val="nil"/>
          <w:right w:val="nil"/>
          <w:between w:val="nil"/>
        </w:pBdr>
        <w:spacing w:after="160" w:line="259" w:lineRule="auto"/>
        <w:ind w:left="1080"/>
        <w:jc w:val="both"/>
        <w:rPr>
          <w:rFonts w:ascii="Noto Sans" w:eastAsia="Noto Sans" w:hAnsi="Noto Sans" w:cs="Noto Sans"/>
          <w:b/>
          <w:bCs/>
          <w:sz w:val="20"/>
          <w:szCs w:val="20"/>
        </w:rPr>
      </w:pPr>
    </w:p>
    <w:p w14:paraId="00000129"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Documentos que deberá presentar el participante.</w:t>
      </w:r>
    </w:p>
    <w:p w14:paraId="0000012A" w14:textId="77777777" w:rsidR="00763B82" w:rsidRDefault="00763B82">
      <w:pPr>
        <w:jc w:val="both"/>
        <w:rPr>
          <w:rFonts w:ascii="Noto Sans" w:eastAsia="Noto Sans" w:hAnsi="Noto Sans" w:cs="Noto Sans"/>
          <w:sz w:val="20"/>
          <w:szCs w:val="20"/>
        </w:rPr>
      </w:pPr>
    </w:p>
    <w:p w14:paraId="0000012B" w14:textId="77777777" w:rsidR="00763B82" w:rsidRDefault="00101471">
      <w:pPr>
        <w:numPr>
          <w:ilvl w:val="0"/>
          <w:numId w:val="4"/>
        </w:numPr>
        <w:spacing w:line="259" w:lineRule="auto"/>
        <w:jc w:val="both"/>
        <w:rPr>
          <w:rFonts w:ascii="Noto Sans" w:eastAsia="Noto Sans" w:hAnsi="Noto Sans" w:cs="Noto Sans"/>
          <w:sz w:val="20"/>
          <w:szCs w:val="20"/>
        </w:rPr>
      </w:pPr>
      <w:r>
        <w:rPr>
          <w:rFonts w:ascii="Noto Sans" w:eastAsia="Noto Sans" w:hAnsi="Noto Sans" w:cs="Noto Sans"/>
          <w:sz w:val="20"/>
          <w:szCs w:val="20"/>
        </w:rPr>
        <w:t>Registro Sanitario de los insumos ofertados.</w:t>
      </w:r>
    </w:p>
    <w:p w14:paraId="0000012C" w14:textId="77777777" w:rsidR="00763B82" w:rsidRDefault="00101471">
      <w:pPr>
        <w:numPr>
          <w:ilvl w:val="0"/>
          <w:numId w:val="4"/>
        </w:numPr>
        <w:spacing w:line="259" w:lineRule="auto"/>
        <w:jc w:val="both"/>
        <w:rPr>
          <w:rFonts w:ascii="Noto Sans" w:eastAsia="Noto Sans" w:hAnsi="Noto Sans" w:cs="Noto Sans"/>
          <w:sz w:val="20"/>
          <w:szCs w:val="20"/>
        </w:rPr>
      </w:pPr>
      <w:r>
        <w:rPr>
          <w:rFonts w:ascii="Noto Sans" w:eastAsia="Noto Sans" w:hAnsi="Noto Sans" w:cs="Noto Sans"/>
          <w:sz w:val="20"/>
          <w:szCs w:val="20"/>
        </w:rPr>
        <w:t>Carta de no conflicto de interés.</w:t>
      </w:r>
    </w:p>
    <w:p w14:paraId="0000012D" w14:textId="77777777" w:rsidR="00763B82" w:rsidRDefault="00101471">
      <w:pPr>
        <w:numPr>
          <w:ilvl w:val="0"/>
          <w:numId w:val="4"/>
        </w:numPr>
        <w:spacing w:line="259" w:lineRule="auto"/>
        <w:jc w:val="both"/>
        <w:rPr>
          <w:rFonts w:ascii="Noto Sans" w:eastAsia="Noto Sans" w:hAnsi="Noto Sans" w:cs="Noto Sans"/>
          <w:sz w:val="20"/>
          <w:szCs w:val="20"/>
        </w:rPr>
      </w:pPr>
      <w:r>
        <w:rPr>
          <w:rFonts w:ascii="Noto Sans" w:eastAsia="Noto Sans" w:hAnsi="Noto Sans" w:cs="Noto Sans"/>
          <w:sz w:val="20"/>
          <w:szCs w:val="20"/>
        </w:rPr>
        <w:t>Carta de garantía contra defectos de fabricación y vicios ocultos.</w:t>
      </w:r>
    </w:p>
    <w:p w14:paraId="0000012E" w14:textId="77777777" w:rsidR="00763B82" w:rsidRDefault="00101471">
      <w:pPr>
        <w:numPr>
          <w:ilvl w:val="0"/>
          <w:numId w:val="4"/>
        </w:numPr>
        <w:spacing w:line="259" w:lineRule="auto"/>
        <w:jc w:val="both"/>
        <w:rPr>
          <w:rFonts w:ascii="Noto Sans" w:eastAsia="Noto Sans" w:hAnsi="Noto Sans" w:cs="Noto Sans"/>
          <w:sz w:val="20"/>
          <w:szCs w:val="20"/>
        </w:rPr>
      </w:pPr>
      <w:r>
        <w:rPr>
          <w:rFonts w:ascii="Noto Sans" w:eastAsia="Noto Sans" w:hAnsi="Noto Sans" w:cs="Noto Sans"/>
          <w:sz w:val="20"/>
          <w:szCs w:val="20"/>
        </w:rPr>
        <w:t>Carta de cumplimiento de normas oficiales aplicables.</w:t>
      </w:r>
    </w:p>
    <w:p w14:paraId="0000012F" w14:textId="77777777" w:rsidR="00763B82" w:rsidRDefault="00101471">
      <w:pPr>
        <w:numPr>
          <w:ilvl w:val="0"/>
          <w:numId w:val="4"/>
        </w:numPr>
        <w:spacing w:line="259" w:lineRule="auto"/>
        <w:jc w:val="both"/>
        <w:rPr>
          <w:rFonts w:ascii="Noto Sans" w:eastAsia="Noto Sans" w:hAnsi="Noto Sans" w:cs="Noto Sans"/>
          <w:sz w:val="20"/>
          <w:szCs w:val="20"/>
          <w:highlight w:val="white"/>
        </w:rPr>
      </w:pPr>
      <w:r>
        <w:rPr>
          <w:rFonts w:ascii="Noto Sans" w:eastAsia="Noto Sans" w:hAnsi="Noto Sans" w:cs="Noto Sans"/>
          <w:sz w:val="20"/>
          <w:szCs w:val="20"/>
          <w:highlight w:val="white"/>
        </w:rPr>
        <w:t xml:space="preserve">Carta de fabricante y/ Carta de distribuidor. </w:t>
      </w:r>
    </w:p>
    <w:p w14:paraId="00000130" w14:textId="77777777" w:rsidR="00763B82" w:rsidRDefault="00763B82">
      <w:pPr>
        <w:tabs>
          <w:tab w:val="left" w:pos="0"/>
        </w:tabs>
        <w:jc w:val="both"/>
        <w:rPr>
          <w:rFonts w:ascii="Noto Sans" w:eastAsia="Noto Sans" w:hAnsi="Noto Sans" w:cs="Noto Sans"/>
          <w:sz w:val="20"/>
          <w:szCs w:val="20"/>
        </w:rPr>
      </w:pPr>
    </w:p>
    <w:p w14:paraId="00000131" w14:textId="77777777" w:rsidR="00763B82" w:rsidRDefault="00101471">
      <w:pPr>
        <w:tabs>
          <w:tab w:val="left" w:pos="0"/>
        </w:tabs>
        <w:jc w:val="both"/>
        <w:rPr>
          <w:rFonts w:ascii="Noto Sans" w:eastAsia="Noto Sans" w:hAnsi="Noto Sans" w:cs="Noto Sans"/>
          <w:sz w:val="20"/>
          <w:szCs w:val="20"/>
        </w:rPr>
      </w:pPr>
      <w:r>
        <w:rPr>
          <w:rFonts w:ascii="Noto Sans" w:eastAsia="Noto Sans" w:hAnsi="Noto Sans" w:cs="Noto Sans"/>
          <w:sz w:val="20"/>
          <w:szCs w:val="20"/>
        </w:rPr>
        <w:t>D</w:t>
      </w:r>
      <w:bookmarkStart w:id="30" w:name="bookmark=kix.pfbs0yx2rdkc" w:colFirst="0" w:colLast="0"/>
      <w:bookmarkEnd w:id="30"/>
      <w:r>
        <w:rPr>
          <w:rFonts w:ascii="Noto Sans" w:eastAsia="Noto Sans" w:hAnsi="Noto Sans" w:cs="Noto Sans"/>
          <w:sz w:val="20"/>
          <w:szCs w:val="20"/>
        </w:rPr>
        <w:t>e acuerdo con lo establecido en los artículos 4, fracción X y 73 de la Ley de Infraestructura de la Calidad que a la letra dice:</w:t>
      </w:r>
    </w:p>
    <w:p w14:paraId="00000132" w14:textId="77777777" w:rsidR="00763B82" w:rsidRDefault="00763B82">
      <w:pPr>
        <w:tabs>
          <w:tab w:val="left" w:pos="0"/>
        </w:tabs>
        <w:jc w:val="both"/>
        <w:rPr>
          <w:rFonts w:ascii="Noto Sans" w:eastAsia="Noto Sans" w:hAnsi="Noto Sans" w:cs="Noto Sans"/>
          <w:sz w:val="20"/>
          <w:szCs w:val="20"/>
        </w:rPr>
      </w:pPr>
    </w:p>
    <w:p w14:paraId="00000133" w14:textId="77777777" w:rsidR="00763B82" w:rsidRDefault="00101471">
      <w:pPr>
        <w:ind w:left="720" w:right="1134"/>
        <w:jc w:val="both"/>
        <w:rPr>
          <w:rFonts w:ascii="Noto Sans" w:eastAsia="Noto Sans" w:hAnsi="Noto Sans" w:cs="Noto Sans"/>
          <w:sz w:val="20"/>
          <w:szCs w:val="20"/>
        </w:rPr>
      </w:pPr>
      <w:r>
        <w:rPr>
          <w:rFonts w:ascii="Noto Sans" w:eastAsia="Noto Sans" w:hAnsi="Noto Sans" w:cs="Noto Sans"/>
          <w:i/>
          <w:iCs/>
          <w:sz w:val="20"/>
          <w:szCs w:val="20"/>
        </w:rPr>
        <w:t>“ (…)</w:t>
      </w:r>
    </w:p>
    <w:p w14:paraId="00000134" w14:textId="77777777" w:rsidR="00763B82" w:rsidRDefault="00763B82">
      <w:pPr>
        <w:ind w:left="720" w:right="1134"/>
        <w:jc w:val="both"/>
        <w:rPr>
          <w:rFonts w:ascii="Noto Sans" w:eastAsia="Noto Sans" w:hAnsi="Noto Sans" w:cs="Noto Sans"/>
          <w:sz w:val="20"/>
          <w:szCs w:val="20"/>
        </w:rPr>
      </w:pPr>
    </w:p>
    <w:p w14:paraId="00000135" w14:textId="77777777" w:rsidR="00763B82" w:rsidRDefault="00101471">
      <w:pPr>
        <w:ind w:left="720" w:right="1134"/>
        <w:jc w:val="both"/>
        <w:rPr>
          <w:rFonts w:ascii="Noto Sans" w:eastAsia="Noto Sans" w:hAnsi="Noto Sans" w:cs="Noto Sans"/>
          <w:sz w:val="20"/>
          <w:szCs w:val="20"/>
        </w:rPr>
      </w:pPr>
      <w:r>
        <w:rPr>
          <w:rFonts w:ascii="Noto Sans" w:eastAsia="Noto Sans" w:hAnsi="Noto Sans" w:cs="Noto Sans"/>
          <w:i/>
          <w:iCs/>
          <w:sz w:val="20"/>
          <w:szCs w:val="20"/>
        </w:rPr>
        <w:t>X. Estándar: al documento técnico que prevé un uso común y repetido de reglas, especificaciones, atributos o métodos de prueba aplicables a un bien, producto, proceso o servicio, así como aquéllas relativas a terminología, simbología, embalaje, marcado, etiquetado o concordaciones.”</w:t>
      </w:r>
    </w:p>
    <w:p w14:paraId="00000136" w14:textId="77777777" w:rsidR="00763B82" w:rsidRDefault="00763B82">
      <w:pPr>
        <w:ind w:left="720" w:right="1134"/>
        <w:jc w:val="both"/>
        <w:rPr>
          <w:rFonts w:ascii="Noto Sans" w:eastAsia="Noto Sans" w:hAnsi="Noto Sans" w:cs="Noto Sans"/>
          <w:sz w:val="20"/>
          <w:szCs w:val="20"/>
        </w:rPr>
      </w:pPr>
      <w:bookmarkStart w:id="31" w:name="bookmark=kix.nlh7rkb3y5ho" w:colFirst="0" w:colLast="0"/>
      <w:bookmarkEnd w:id="31"/>
    </w:p>
    <w:p w14:paraId="00000137" w14:textId="77777777" w:rsidR="00763B82" w:rsidRDefault="00101471">
      <w:pPr>
        <w:ind w:right="1183"/>
        <w:jc w:val="both"/>
        <w:rPr>
          <w:rFonts w:ascii="Noto Sans" w:eastAsia="Noto Sans" w:hAnsi="Noto Sans" w:cs="Noto Sans"/>
          <w:sz w:val="20"/>
          <w:szCs w:val="20"/>
        </w:rPr>
      </w:pPr>
      <w:r>
        <w:rPr>
          <w:rFonts w:ascii="Noto Sans" w:eastAsia="Noto Sans" w:hAnsi="Noto Sans" w:cs="Noto Sans"/>
          <w:sz w:val="20"/>
          <w:szCs w:val="20"/>
        </w:rPr>
        <w:t>“Artículo 73. El sistema de calidad e innovación forma parte del Sistema Nacional de Infraestructura de la Calidad; está integrado por los Organismos Nacionales de Estandarización y demás sujetos facultados para estandarizar, y se sustenta en el desarrollo y aplicación de los Estándares que, por regla general, son de aplicación voluntaria excepto cuando se actualice cualquiera de los siguientes supuestos</w:t>
      </w:r>
      <w:r>
        <w:rPr>
          <w:rFonts w:ascii="Noto Sans" w:eastAsia="Noto Sans" w:hAnsi="Noto Sans" w:cs="Noto Sans"/>
          <w:i/>
          <w:iCs/>
          <w:sz w:val="20"/>
          <w:szCs w:val="20"/>
        </w:rPr>
        <w:t>:</w:t>
      </w:r>
    </w:p>
    <w:p w14:paraId="00000138" w14:textId="77777777" w:rsidR="00763B82" w:rsidRDefault="00763B82">
      <w:pPr>
        <w:jc w:val="both"/>
        <w:rPr>
          <w:rFonts w:ascii="Noto Sans" w:eastAsia="Noto Sans" w:hAnsi="Noto Sans" w:cs="Noto Sans"/>
          <w:sz w:val="20"/>
          <w:szCs w:val="20"/>
        </w:rPr>
      </w:pPr>
    </w:p>
    <w:p w14:paraId="00000139"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En caso de que las Normas Oficiales Mexicanas, los Estándares u otras disposiciones legales sean abrogadas, o se actualicen durante la prestación del arrendamiento, el prestador del servicio deberá cumplir con lo allí previsto.</w:t>
      </w:r>
    </w:p>
    <w:p w14:paraId="0000013A" w14:textId="77777777" w:rsidR="00763B82" w:rsidRDefault="00763B82">
      <w:pPr>
        <w:tabs>
          <w:tab w:val="center" w:pos="4252"/>
          <w:tab w:val="right" w:pos="9923"/>
          <w:tab w:val="left" w:pos="11340"/>
        </w:tabs>
        <w:ind w:left="851" w:right="49"/>
        <w:jc w:val="both"/>
        <w:rPr>
          <w:rFonts w:ascii="Noto Sans" w:eastAsia="Noto Sans" w:hAnsi="Noto Sans" w:cs="Noto Sans"/>
          <w:sz w:val="20"/>
          <w:szCs w:val="20"/>
        </w:rPr>
      </w:pPr>
    </w:p>
    <w:p w14:paraId="0000013B"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A falta de éstas, el servicio cumplirá con las Normas Internacionales aplicables, de conformidad con lo que se establece en el artículo 31 del Reglamento de la Ley de Adquisiciones, Arrendamientos y Servicios del Sector Público, 53 y 55 de la Ley de Infraestructura de la Calidad y lo establecido en el presente documento.</w:t>
      </w:r>
    </w:p>
    <w:p w14:paraId="0000013C" w14:textId="77777777" w:rsidR="00763B82" w:rsidRDefault="00763B82">
      <w:pPr>
        <w:jc w:val="both"/>
        <w:rPr>
          <w:rFonts w:ascii="Noto Sans" w:eastAsia="Noto Sans" w:hAnsi="Noto Sans" w:cs="Noto Sans"/>
          <w:sz w:val="20"/>
          <w:szCs w:val="20"/>
        </w:rPr>
      </w:pPr>
    </w:p>
    <w:p w14:paraId="0000013D"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En el mismo sentido, el prestador del servicio deberá garantizar el cumplimiento de los requisitos establecidos por la COFEPRIS y contar con la Licencia Sanitaria de Fabricación de Preparaciones Farmacéuticas correspondiente, con una vigencia que cubra la duración del servicio; así como el aviso de </w:t>
      </w:r>
      <w:r>
        <w:rPr>
          <w:rFonts w:ascii="Noto Sans" w:eastAsia="Noto Sans" w:hAnsi="Noto Sans" w:cs="Noto Sans"/>
          <w:sz w:val="20"/>
          <w:szCs w:val="20"/>
        </w:rPr>
        <w:lastRenderedPageBreak/>
        <w:t>responsable sanitario de la operación y funcionamiento del establecimiento vigente emitido por la Secretaría de Salud o autoridad competente, mismos que deberán exhibirse en lugar visible.</w:t>
      </w:r>
    </w:p>
    <w:p w14:paraId="0000013E" w14:textId="77777777" w:rsidR="00763B82" w:rsidRDefault="00763B82">
      <w:pPr>
        <w:jc w:val="both"/>
        <w:rPr>
          <w:rFonts w:ascii="Noto Sans" w:eastAsia="Noto Sans" w:hAnsi="Noto Sans" w:cs="Noto Sans"/>
          <w:sz w:val="20"/>
          <w:szCs w:val="20"/>
        </w:rPr>
      </w:pPr>
    </w:p>
    <w:p w14:paraId="0000013F"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En caso de que exista alguna actualización en las normas, guías o reglamentos para el manejo de las mezclas para la operación del servicio, se deberán realizar los ajustes que correspondan para observar su cumplimiento.</w:t>
      </w:r>
    </w:p>
    <w:p w14:paraId="00000140" w14:textId="77777777" w:rsidR="00763B82" w:rsidRDefault="00763B82">
      <w:pPr>
        <w:jc w:val="both"/>
        <w:rPr>
          <w:rFonts w:ascii="Noto Sans" w:eastAsia="Noto Sans" w:hAnsi="Noto Sans" w:cs="Noto Sans"/>
          <w:sz w:val="20"/>
          <w:szCs w:val="20"/>
        </w:rPr>
      </w:pPr>
    </w:p>
    <w:p w14:paraId="00000141" w14:textId="77777777" w:rsidR="00763B82" w:rsidRDefault="00763B82">
      <w:pPr>
        <w:jc w:val="both"/>
        <w:rPr>
          <w:rFonts w:ascii="Noto Sans" w:eastAsia="Noto Sans" w:hAnsi="Noto Sans" w:cs="Noto Sans"/>
          <w:sz w:val="20"/>
          <w:szCs w:val="20"/>
        </w:rPr>
      </w:pPr>
    </w:p>
    <w:p w14:paraId="00000142" w14:textId="77777777" w:rsidR="00763B82" w:rsidRDefault="00763B82">
      <w:pPr>
        <w:jc w:val="both"/>
        <w:rPr>
          <w:rFonts w:ascii="Noto Sans" w:eastAsia="Noto Sans" w:hAnsi="Noto Sans" w:cs="Noto Sans"/>
          <w:sz w:val="20"/>
          <w:szCs w:val="20"/>
        </w:rPr>
      </w:pPr>
    </w:p>
    <w:p w14:paraId="00000143" w14:textId="77777777" w:rsidR="00763B82" w:rsidRDefault="00101471">
      <w:pPr>
        <w:keepNext/>
        <w:keepLines/>
        <w:jc w:val="both"/>
        <w:rPr>
          <w:rFonts w:ascii="Noto Sans" w:eastAsia="Noto Sans" w:hAnsi="Noto Sans" w:cs="Noto Sans"/>
          <w:b/>
          <w:bCs/>
          <w:sz w:val="20"/>
          <w:szCs w:val="20"/>
        </w:rPr>
      </w:pPr>
      <w:bookmarkStart w:id="32" w:name="_heading=h.2xcytpi" w:colFirst="0" w:colLast="0"/>
      <w:bookmarkEnd w:id="32"/>
      <w:r>
        <w:rPr>
          <w:rFonts w:ascii="Noto Sans" w:eastAsia="Noto Sans" w:hAnsi="Noto Sans" w:cs="Noto Sans"/>
          <w:b/>
          <w:bCs/>
          <w:sz w:val="20"/>
          <w:szCs w:val="20"/>
        </w:rPr>
        <w:t>J) EL ANEXO TÉCNICO NO DEBERÁ CONTENER INFORMACIÓN RELATIVA A LA SUFICIENCIA PRESUPUESTARIA NI PATRIMONIAL, PRECIOS DE CONTRATACIÓN O AL TIPO DE PROCEDIMIENTO DE CONTRATACIÓN.</w:t>
      </w:r>
    </w:p>
    <w:p w14:paraId="00000144" w14:textId="77777777" w:rsidR="00763B82" w:rsidRDefault="00763B82">
      <w:pPr>
        <w:keepNext/>
        <w:keepLines/>
        <w:jc w:val="both"/>
        <w:rPr>
          <w:rFonts w:ascii="Noto Sans" w:eastAsia="Noto Sans" w:hAnsi="Noto Sans" w:cs="Noto Sans"/>
          <w:b/>
          <w:bCs/>
          <w:sz w:val="20"/>
          <w:szCs w:val="20"/>
        </w:rPr>
      </w:pPr>
      <w:bookmarkStart w:id="33" w:name="_heading=h.g9tqauy3fexf" w:colFirst="0" w:colLast="0"/>
      <w:bookmarkEnd w:id="33"/>
    </w:p>
    <w:p w14:paraId="00000145"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El presente Anexo no hace referencia a la información señalada en este inciso. </w:t>
      </w:r>
    </w:p>
    <w:p w14:paraId="00000146" w14:textId="77777777" w:rsidR="00763B82" w:rsidRDefault="00763B82">
      <w:pPr>
        <w:keepNext/>
        <w:keepLines/>
        <w:jc w:val="both"/>
        <w:rPr>
          <w:rFonts w:ascii="Noto Sans" w:eastAsia="Noto Sans" w:hAnsi="Noto Sans" w:cs="Noto Sans"/>
          <w:sz w:val="20"/>
          <w:szCs w:val="20"/>
        </w:rPr>
      </w:pPr>
    </w:p>
    <w:p w14:paraId="00000147" w14:textId="77777777" w:rsidR="00763B82" w:rsidRDefault="00101471">
      <w:pPr>
        <w:spacing w:before="240" w:after="240"/>
        <w:jc w:val="both"/>
        <w:rPr>
          <w:rFonts w:ascii="Noto Sans" w:eastAsia="Noto Sans" w:hAnsi="Noto Sans" w:cs="Noto Sans"/>
          <w:b/>
          <w:bCs/>
          <w:sz w:val="20"/>
          <w:szCs w:val="20"/>
        </w:rPr>
      </w:pPr>
      <w:r>
        <w:rPr>
          <w:rFonts w:ascii="Noto Sans" w:eastAsia="Noto Sans" w:hAnsi="Noto Sans" w:cs="Noto Sans"/>
          <w:b/>
          <w:bCs/>
          <w:sz w:val="20"/>
          <w:szCs w:val="20"/>
        </w:rPr>
        <w:t>K) ADMINISTRADORES DEL CONTRATO.</w:t>
      </w:r>
    </w:p>
    <w:p w14:paraId="00000148"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 xml:space="preserve">Persona servidora pública de IMSS-BIENESTAR, adscrita al Área Requirente o a la Coordinación del Hospital de Alta Especialidad del bajío, con nivel jerárquico de cuando menos Titular de División, Jefe de Servicios o equivalente, conforme al numeral 5.3.16 de las POBALINES, quien fungirá como lo establecen los artículos 2 fracción III Bis y 84 del RLAASSP, del párrafo 8 así como el numeral 1. “Definiciones y Siglas”, del apartado 5.2 Comisión Consultiva Mixta de Abastecimiento, del ACUERDO por el que se expide el Manual Administrativo de Aplicación General en Materia de Adquisiciones, Arrendamientos y Servicios del Sector Público.       </w:t>
      </w:r>
      <w:r>
        <w:rPr>
          <w:rFonts w:ascii="Noto Sans" w:eastAsia="Noto Sans" w:hAnsi="Noto Sans" w:cs="Noto Sans"/>
          <w:sz w:val="20"/>
          <w:szCs w:val="20"/>
        </w:rPr>
        <w:tab/>
        <w:t xml:space="preserve">  </w:t>
      </w:r>
    </w:p>
    <w:p w14:paraId="00000149"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De conformidad con el numeral 4.14 de las POBALINES, el Titular del Área Requirente, designará y notificará por escrito a la persona servidora pública que fungirá como Administrador del Contrato o pedido.</w:t>
      </w:r>
    </w:p>
    <w:p w14:paraId="0000014A" w14:textId="77777777" w:rsidR="00763B82" w:rsidRDefault="00101471">
      <w:pPr>
        <w:spacing w:before="240" w:after="240"/>
        <w:jc w:val="both"/>
        <w:rPr>
          <w:rFonts w:ascii="Noto Sans" w:eastAsia="Noto Sans" w:hAnsi="Noto Sans" w:cs="Noto Sans"/>
          <w:sz w:val="20"/>
          <w:szCs w:val="20"/>
        </w:rPr>
      </w:pPr>
      <w:r>
        <w:rPr>
          <w:rFonts w:ascii="Noto Sans" w:eastAsia="Noto Sans" w:hAnsi="Noto Sans" w:cs="Noto Sans"/>
          <w:sz w:val="20"/>
          <w:szCs w:val="20"/>
        </w:rPr>
        <w:t>El Administrador del Contrato podrá auxiliarse para el debido cumplimiento de sus obligaciones, con otras personas servidoras públicas que fungirán como supervisores del contrato cuando las condiciones contractuales lo requieran, en este caso, dichos supervisores deberán ser designados por escrito, y serán corresponsables de las actividades que se les asignen y de mantener informado al Administrador del Contrato con la periodicidad y forma que se les indique.</w:t>
      </w:r>
    </w:p>
    <w:p w14:paraId="0000014B" w14:textId="77777777" w:rsidR="00763B82" w:rsidRDefault="00763B82">
      <w:pPr>
        <w:keepNext/>
        <w:keepLines/>
        <w:jc w:val="both"/>
        <w:rPr>
          <w:rFonts w:ascii="Noto Sans" w:eastAsia="Noto Sans" w:hAnsi="Noto Sans" w:cs="Noto Sans"/>
          <w:sz w:val="20"/>
          <w:szCs w:val="20"/>
        </w:rPr>
      </w:pPr>
      <w:bookmarkStart w:id="34" w:name="_heading=h.fl5henpkftv5" w:colFirst="0" w:colLast="0"/>
      <w:bookmarkEnd w:id="34"/>
    </w:p>
    <w:p w14:paraId="0000014C" w14:textId="77777777" w:rsidR="00763B82" w:rsidRDefault="00101471">
      <w:pPr>
        <w:keepNext/>
        <w:keepLines/>
        <w:jc w:val="both"/>
        <w:rPr>
          <w:rFonts w:ascii="Noto Sans" w:eastAsia="Noto Sans" w:hAnsi="Noto Sans" w:cs="Noto Sans"/>
          <w:b/>
          <w:bCs/>
          <w:sz w:val="20"/>
          <w:szCs w:val="20"/>
        </w:rPr>
      </w:pPr>
      <w:r>
        <w:rPr>
          <w:rFonts w:ascii="Noto Sans" w:eastAsia="Noto Sans" w:hAnsi="Noto Sans" w:cs="Noto Sans"/>
          <w:b/>
          <w:bCs/>
          <w:sz w:val="20"/>
          <w:szCs w:val="20"/>
        </w:rPr>
        <w:t xml:space="preserve">L) TIPO DE CONTRATO.  </w:t>
      </w:r>
    </w:p>
    <w:p w14:paraId="0000014D" w14:textId="77777777" w:rsidR="00763B82" w:rsidRDefault="00763B82">
      <w:pPr>
        <w:jc w:val="both"/>
        <w:rPr>
          <w:rFonts w:ascii="Noto Sans" w:eastAsia="Noto Sans" w:hAnsi="Noto Sans" w:cs="Noto Sans"/>
          <w:sz w:val="20"/>
          <w:szCs w:val="20"/>
        </w:rPr>
      </w:pPr>
    </w:p>
    <w:p w14:paraId="0000014E"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 xml:space="preserve">El procedimiento de contratación se formalizará a través de un contrato </w:t>
      </w:r>
      <w:r>
        <w:rPr>
          <w:rFonts w:ascii="Noto Sans" w:eastAsia="Noto Sans" w:hAnsi="Noto Sans" w:cs="Noto Sans"/>
          <w:b/>
          <w:bCs/>
          <w:sz w:val="20"/>
          <w:szCs w:val="20"/>
        </w:rPr>
        <w:t>abierto</w:t>
      </w:r>
      <w:r>
        <w:rPr>
          <w:rFonts w:ascii="Noto Sans" w:eastAsia="Noto Sans" w:hAnsi="Noto Sans" w:cs="Noto Sans"/>
          <w:sz w:val="20"/>
          <w:szCs w:val="20"/>
        </w:rPr>
        <w:t>.</w:t>
      </w:r>
    </w:p>
    <w:p w14:paraId="0000014F" w14:textId="77777777" w:rsidR="00763B82" w:rsidRDefault="00763B82">
      <w:pPr>
        <w:jc w:val="both"/>
        <w:rPr>
          <w:rFonts w:ascii="Noto Sans" w:eastAsia="Noto Sans" w:hAnsi="Noto Sans" w:cs="Noto Sans"/>
          <w:sz w:val="20"/>
          <w:szCs w:val="20"/>
        </w:rPr>
      </w:pPr>
    </w:p>
    <w:p w14:paraId="00000150"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El contrato será abierto, en los términos de los artículos 68 de la Ley de Adquisiciones, Arrendamientos y Servicios del Sector Público (LAASSP) y 85 de su Reglamento.</w:t>
      </w:r>
    </w:p>
    <w:p w14:paraId="00000151" w14:textId="77777777" w:rsidR="00763B82" w:rsidRDefault="00763B82">
      <w:pPr>
        <w:jc w:val="both"/>
        <w:rPr>
          <w:rFonts w:ascii="Noto Sans" w:eastAsia="Noto Sans" w:hAnsi="Noto Sans" w:cs="Noto Sans"/>
          <w:sz w:val="20"/>
          <w:szCs w:val="20"/>
        </w:rPr>
      </w:pPr>
    </w:p>
    <w:p w14:paraId="00000152" w14:textId="77777777" w:rsidR="00763B82" w:rsidRDefault="00763B82">
      <w:pPr>
        <w:jc w:val="both"/>
        <w:rPr>
          <w:rFonts w:ascii="Noto Sans" w:eastAsia="Noto Sans" w:hAnsi="Noto Sans" w:cs="Noto Sans"/>
          <w:sz w:val="20"/>
          <w:szCs w:val="20"/>
        </w:rPr>
      </w:pPr>
      <w:bookmarkStart w:id="35" w:name="_heading=h.7gyajw8xrppl" w:colFirst="0" w:colLast="0"/>
      <w:bookmarkEnd w:id="35"/>
    </w:p>
    <w:p w14:paraId="00000153" w14:textId="77777777" w:rsidR="00763B82" w:rsidRDefault="00101471">
      <w:pPr>
        <w:keepNext/>
        <w:keepLines/>
        <w:jc w:val="both"/>
        <w:rPr>
          <w:rFonts w:ascii="Noto Sans" w:eastAsia="Noto Sans" w:hAnsi="Noto Sans" w:cs="Noto Sans"/>
          <w:b/>
          <w:bCs/>
          <w:sz w:val="20"/>
          <w:szCs w:val="20"/>
        </w:rPr>
      </w:pPr>
      <w:r>
        <w:rPr>
          <w:rFonts w:ascii="Noto Sans" w:eastAsia="Noto Sans" w:hAnsi="Noto Sans" w:cs="Noto Sans"/>
          <w:b/>
          <w:bCs/>
          <w:sz w:val="20"/>
          <w:szCs w:val="20"/>
        </w:rPr>
        <w:lastRenderedPageBreak/>
        <w:t>M) TIPO DE ABASTECIMIENTO.</w:t>
      </w:r>
    </w:p>
    <w:p w14:paraId="00000154" w14:textId="77777777" w:rsidR="00763B82" w:rsidRDefault="00763B82">
      <w:pPr>
        <w:jc w:val="both"/>
        <w:rPr>
          <w:rFonts w:ascii="Noto Sans" w:eastAsia="Noto Sans" w:hAnsi="Noto Sans" w:cs="Noto Sans"/>
          <w:sz w:val="20"/>
          <w:szCs w:val="20"/>
        </w:rPr>
      </w:pPr>
    </w:p>
    <w:p w14:paraId="00000155" w14:textId="77777777" w:rsidR="00763B82" w:rsidRDefault="00101471">
      <w:pPr>
        <w:jc w:val="both"/>
        <w:rPr>
          <w:rFonts w:ascii="Noto Sans" w:eastAsia="Noto Sans" w:hAnsi="Noto Sans" w:cs="Noto Sans"/>
          <w:sz w:val="20"/>
          <w:szCs w:val="20"/>
        </w:rPr>
      </w:pPr>
      <w:r>
        <w:rPr>
          <w:rFonts w:ascii="Noto Sans" w:eastAsia="Noto Sans" w:hAnsi="Noto Sans" w:cs="Noto Sans"/>
          <w:sz w:val="20"/>
          <w:szCs w:val="20"/>
        </w:rPr>
        <w:t>Se adjudicará el 100% de la totalidad de los requerimientos de una Partida a un solo proveedor o prestador de servicio y se formalizará contrato por partida adjudicada, así mismo un proveedor podrá participar en varias partidas.</w:t>
      </w:r>
    </w:p>
    <w:p w14:paraId="00000156" w14:textId="77777777" w:rsidR="00763B82" w:rsidRDefault="00763B82">
      <w:pPr>
        <w:jc w:val="right"/>
        <w:rPr>
          <w:rFonts w:ascii="Noto Sans" w:eastAsia="Noto Sans" w:hAnsi="Noto Sans" w:cs="Noto Sans"/>
          <w:sz w:val="20"/>
          <w:szCs w:val="20"/>
        </w:rPr>
      </w:pPr>
    </w:p>
    <w:p w14:paraId="00000157" w14:textId="77777777" w:rsidR="00763B82" w:rsidRDefault="00763B82">
      <w:pPr>
        <w:jc w:val="right"/>
        <w:rPr>
          <w:rFonts w:ascii="Noto Sans" w:eastAsia="Noto Sans" w:hAnsi="Noto Sans" w:cs="Noto Sans"/>
          <w:sz w:val="20"/>
          <w:szCs w:val="20"/>
        </w:rPr>
      </w:pPr>
    </w:p>
    <w:p w14:paraId="00000158" w14:textId="77777777" w:rsidR="00763B82" w:rsidRDefault="00763B82">
      <w:pPr>
        <w:jc w:val="right"/>
        <w:rPr>
          <w:rFonts w:ascii="Noto Sans" w:eastAsia="Noto Sans" w:hAnsi="Noto Sans" w:cs="Noto Sans"/>
          <w:sz w:val="20"/>
          <w:szCs w:val="20"/>
        </w:rPr>
      </w:pPr>
    </w:p>
    <w:p w14:paraId="00000159" w14:textId="77777777" w:rsidR="00763B82" w:rsidRDefault="00763B82">
      <w:pPr>
        <w:jc w:val="right"/>
        <w:rPr>
          <w:rFonts w:ascii="Noto Sans" w:eastAsia="Noto Sans" w:hAnsi="Noto Sans" w:cs="Noto Sans"/>
          <w:sz w:val="20"/>
          <w:szCs w:val="20"/>
        </w:rPr>
      </w:pPr>
    </w:p>
    <w:p w14:paraId="0000015A" w14:textId="77777777" w:rsidR="00763B82" w:rsidRDefault="00763B82">
      <w:pPr>
        <w:jc w:val="right"/>
        <w:rPr>
          <w:rFonts w:ascii="Noto Sans" w:eastAsia="Noto Sans" w:hAnsi="Noto Sans" w:cs="Noto Sans"/>
          <w:sz w:val="20"/>
          <w:szCs w:val="20"/>
        </w:rPr>
      </w:pPr>
    </w:p>
    <w:p w14:paraId="0000015B" w14:textId="77777777" w:rsidR="00763B82" w:rsidRDefault="00101471">
      <w:pPr>
        <w:jc w:val="right"/>
        <w:rPr>
          <w:rFonts w:ascii="Noto Sans" w:eastAsia="Noto Sans" w:hAnsi="Noto Sans" w:cs="Noto Sans"/>
          <w:sz w:val="20"/>
          <w:szCs w:val="20"/>
        </w:rPr>
      </w:pPr>
      <w:r>
        <w:rPr>
          <w:rFonts w:ascii="Noto Sans" w:eastAsia="Noto Sans" w:hAnsi="Noto Sans" w:cs="Noto Sans"/>
          <w:sz w:val="20"/>
          <w:szCs w:val="20"/>
        </w:rPr>
        <w:t>León, Guanajuato a 30 de octubre de 2025</w:t>
      </w:r>
    </w:p>
    <w:p w14:paraId="0000015C" w14:textId="77777777" w:rsidR="00763B82" w:rsidRDefault="00763B82">
      <w:pPr>
        <w:rPr>
          <w:rFonts w:ascii="Noto Sans" w:eastAsia="Noto Sans" w:hAnsi="Noto Sans" w:cs="Noto Sans"/>
          <w:sz w:val="20"/>
          <w:szCs w:val="20"/>
          <w:highlight w:val="yellow"/>
        </w:rPr>
      </w:pPr>
      <w:bookmarkStart w:id="36" w:name="_heading=h.e5tvn3icb60p" w:colFirst="0" w:colLast="0"/>
      <w:bookmarkEnd w:id="36"/>
    </w:p>
    <w:tbl>
      <w:tblPr>
        <w:tblStyle w:val="aff1"/>
        <w:tblW w:w="9356" w:type="dxa"/>
        <w:jc w:val="center"/>
        <w:tblInd w:w="0" w:type="dxa"/>
        <w:tblLayout w:type="fixed"/>
        <w:tblLook w:val="0000" w:firstRow="0" w:lastRow="0" w:firstColumn="0" w:lastColumn="0" w:noHBand="0" w:noVBand="0"/>
      </w:tblPr>
      <w:tblGrid>
        <w:gridCol w:w="4678"/>
        <w:gridCol w:w="4678"/>
      </w:tblGrid>
      <w:tr w:rsidR="00763B82" w14:paraId="6B041059" w14:textId="77777777">
        <w:trPr>
          <w:trHeight w:val="20"/>
          <w:jc w:val="center"/>
        </w:trPr>
        <w:tc>
          <w:tcPr>
            <w:tcW w:w="4678" w:type="dxa"/>
            <w:vAlign w:val="center"/>
          </w:tcPr>
          <w:p w14:paraId="0000015D" w14:textId="77777777" w:rsidR="00763B82" w:rsidRDefault="00101471">
            <w:pPr>
              <w:ind w:hanging="2"/>
              <w:jc w:val="center"/>
              <w:rPr>
                <w:rFonts w:ascii="Noto Sans" w:eastAsia="Noto Sans" w:hAnsi="Noto Sans" w:cs="Noto Sans"/>
                <w:sz w:val="20"/>
                <w:szCs w:val="20"/>
              </w:rPr>
            </w:pPr>
            <w:r>
              <w:rPr>
                <w:rFonts w:ascii="Noto Sans" w:eastAsia="Noto Sans" w:hAnsi="Noto Sans" w:cs="Noto Sans"/>
                <w:sz w:val="20"/>
                <w:szCs w:val="20"/>
              </w:rPr>
              <w:t xml:space="preserve">Dr. Juan Antonio Pérez Méndez </w:t>
            </w:r>
          </w:p>
          <w:p w14:paraId="0000015E" w14:textId="77777777" w:rsidR="00763B82" w:rsidRDefault="00101471">
            <w:pPr>
              <w:ind w:hanging="2"/>
              <w:jc w:val="center"/>
              <w:rPr>
                <w:rFonts w:ascii="Noto Sans" w:eastAsia="Noto Sans" w:hAnsi="Noto Sans" w:cs="Noto Sans"/>
                <w:sz w:val="20"/>
                <w:szCs w:val="20"/>
              </w:rPr>
            </w:pPr>
            <w:r>
              <w:rPr>
                <w:rFonts w:ascii="Noto Sans" w:eastAsia="Noto Sans" w:hAnsi="Noto Sans" w:cs="Noto Sans"/>
                <w:sz w:val="20"/>
                <w:szCs w:val="20"/>
              </w:rPr>
              <w:t>Encargado de la Jefatura del Departamento de Anatomía Patológica</w:t>
            </w:r>
          </w:p>
          <w:p w14:paraId="0000015F" w14:textId="77777777" w:rsidR="00763B82" w:rsidRDefault="00763B82">
            <w:pPr>
              <w:ind w:hanging="2"/>
              <w:jc w:val="center"/>
              <w:rPr>
                <w:rFonts w:ascii="Noto Sans" w:eastAsia="Noto Sans" w:hAnsi="Noto Sans" w:cs="Noto Sans"/>
                <w:sz w:val="20"/>
                <w:szCs w:val="20"/>
              </w:rPr>
            </w:pPr>
          </w:p>
          <w:p w14:paraId="00000160" w14:textId="77777777" w:rsidR="00763B82" w:rsidRDefault="00763B82">
            <w:pPr>
              <w:ind w:hanging="2"/>
              <w:jc w:val="center"/>
              <w:rPr>
                <w:rFonts w:ascii="Noto Sans" w:eastAsia="Noto Sans" w:hAnsi="Noto Sans" w:cs="Noto Sans"/>
                <w:sz w:val="20"/>
                <w:szCs w:val="20"/>
              </w:rPr>
            </w:pPr>
          </w:p>
          <w:p w14:paraId="00000161" w14:textId="77777777" w:rsidR="00763B82" w:rsidRDefault="00763B82">
            <w:pPr>
              <w:ind w:hanging="2"/>
              <w:jc w:val="center"/>
              <w:rPr>
                <w:rFonts w:ascii="Noto Sans" w:eastAsia="Noto Sans" w:hAnsi="Noto Sans" w:cs="Noto Sans"/>
                <w:sz w:val="20"/>
                <w:szCs w:val="20"/>
              </w:rPr>
            </w:pPr>
          </w:p>
          <w:p w14:paraId="00000162" w14:textId="77777777" w:rsidR="00763B82" w:rsidRDefault="00101471">
            <w:pPr>
              <w:ind w:hanging="2"/>
              <w:jc w:val="center"/>
              <w:rPr>
                <w:rFonts w:ascii="Noto Sans" w:eastAsia="Noto Sans" w:hAnsi="Noto Sans" w:cs="Noto Sans"/>
                <w:sz w:val="20"/>
                <w:szCs w:val="20"/>
              </w:rPr>
            </w:pPr>
            <w:r>
              <w:rPr>
                <w:rFonts w:ascii="Noto Sans" w:eastAsia="Noto Sans" w:hAnsi="Noto Sans" w:cs="Noto Sans"/>
                <w:sz w:val="20"/>
                <w:szCs w:val="20"/>
              </w:rPr>
              <w:t>ÁREA TÉCNICA</w:t>
            </w:r>
          </w:p>
          <w:p w14:paraId="00000163" w14:textId="77777777" w:rsidR="00763B82" w:rsidRDefault="00763B82">
            <w:pPr>
              <w:ind w:hanging="2"/>
              <w:jc w:val="center"/>
              <w:rPr>
                <w:rFonts w:ascii="Noto Sans" w:eastAsia="Noto Sans" w:hAnsi="Noto Sans" w:cs="Noto Sans"/>
                <w:sz w:val="20"/>
                <w:szCs w:val="20"/>
              </w:rPr>
            </w:pPr>
          </w:p>
          <w:p w14:paraId="00000164" w14:textId="77777777" w:rsidR="00763B82" w:rsidRDefault="00763B82">
            <w:pPr>
              <w:ind w:hanging="2"/>
              <w:jc w:val="center"/>
              <w:rPr>
                <w:rFonts w:ascii="Noto Sans" w:eastAsia="Noto Sans" w:hAnsi="Noto Sans" w:cs="Noto Sans"/>
                <w:sz w:val="20"/>
                <w:szCs w:val="20"/>
              </w:rPr>
            </w:pPr>
          </w:p>
          <w:p w14:paraId="00000165" w14:textId="77777777" w:rsidR="00763B82" w:rsidRDefault="00763B82">
            <w:pPr>
              <w:ind w:hanging="2"/>
              <w:rPr>
                <w:rFonts w:ascii="Noto Sans" w:eastAsia="Noto Sans" w:hAnsi="Noto Sans" w:cs="Noto Sans"/>
                <w:sz w:val="20"/>
                <w:szCs w:val="20"/>
              </w:rPr>
            </w:pPr>
          </w:p>
        </w:tc>
        <w:tc>
          <w:tcPr>
            <w:tcW w:w="4678" w:type="dxa"/>
          </w:tcPr>
          <w:p w14:paraId="00000166" w14:textId="77777777" w:rsidR="00763B82" w:rsidRDefault="00763B82">
            <w:pPr>
              <w:ind w:hanging="2"/>
              <w:jc w:val="center"/>
              <w:rPr>
                <w:rFonts w:ascii="Noto Sans" w:eastAsia="Noto Sans" w:hAnsi="Noto Sans" w:cs="Noto Sans"/>
                <w:sz w:val="20"/>
                <w:szCs w:val="20"/>
              </w:rPr>
            </w:pPr>
          </w:p>
          <w:p w14:paraId="00000167" w14:textId="77777777" w:rsidR="00763B82" w:rsidRDefault="00763B82">
            <w:pPr>
              <w:ind w:hanging="2"/>
              <w:rPr>
                <w:rFonts w:ascii="Noto Sans" w:eastAsia="Noto Sans" w:hAnsi="Noto Sans" w:cs="Noto Sans"/>
                <w:sz w:val="20"/>
                <w:szCs w:val="20"/>
              </w:rPr>
            </w:pPr>
          </w:p>
          <w:p w14:paraId="00000168" w14:textId="77777777" w:rsidR="00763B82" w:rsidRDefault="00101471">
            <w:pPr>
              <w:ind w:hanging="2"/>
              <w:jc w:val="center"/>
              <w:rPr>
                <w:rFonts w:ascii="Noto Sans" w:eastAsia="Noto Sans" w:hAnsi="Noto Sans" w:cs="Noto Sans"/>
                <w:sz w:val="20"/>
                <w:szCs w:val="20"/>
              </w:rPr>
            </w:pPr>
            <w:r>
              <w:rPr>
                <w:rFonts w:ascii="Noto Sans" w:eastAsia="Noto Sans" w:hAnsi="Noto Sans" w:cs="Noto Sans"/>
                <w:sz w:val="20"/>
                <w:szCs w:val="20"/>
              </w:rPr>
              <w:t>Dirección Médica</w:t>
            </w:r>
          </w:p>
          <w:p w14:paraId="00000169" w14:textId="77777777" w:rsidR="00763B82" w:rsidRDefault="00763B82">
            <w:pPr>
              <w:ind w:hanging="2"/>
              <w:jc w:val="center"/>
              <w:rPr>
                <w:rFonts w:ascii="Noto Sans" w:eastAsia="Noto Sans" w:hAnsi="Noto Sans" w:cs="Noto Sans"/>
                <w:sz w:val="20"/>
                <w:szCs w:val="20"/>
              </w:rPr>
            </w:pPr>
          </w:p>
          <w:p w14:paraId="0000016A" w14:textId="77777777" w:rsidR="00763B82" w:rsidRDefault="00763B82">
            <w:pPr>
              <w:ind w:hanging="2"/>
              <w:jc w:val="center"/>
              <w:rPr>
                <w:rFonts w:ascii="Noto Sans" w:eastAsia="Noto Sans" w:hAnsi="Noto Sans" w:cs="Noto Sans"/>
                <w:sz w:val="20"/>
                <w:szCs w:val="20"/>
              </w:rPr>
            </w:pPr>
          </w:p>
          <w:p w14:paraId="0000016B" w14:textId="77777777" w:rsidR="00763B82" w:rsidRDefault="00763B82">
            <w:pPr>
              <w:ind w:hanging="2"/>
              <w:jc w:val="center"/>
              <w:rPr>
                <w:rFonts w:ascii="Noto Sans" w:eastAsia="Noto Sans" w:hAnsi="Noto Sans" w:cs="Noto Sans"/>
                <w:sz w:val="20"/>
                <w:szCs w:val="20"/>
              </w:rPr>
            </w:pPr>
          </w:p>
          <w:p w14:paraId="0000016C" w14:textId="77777777" w:rsidR="00763B82" w:rsidRDefault="00101471">
            <w:pPr>
              <w:ind w:hanging="2"/>
              <w:jc w:val="center"/>
              <w:rPr>
                <w:rFonts w:ascii="Noto Sans" w:eastAsia="Noto Sans" w:hAnsi="Noto Sans" w:cs="Noto Sans"/>
                <w:sz w:val="20"/>
                <w:szCs w:val="20"/>
              </w:rPr>
            </w:pPr>
            <w:r>
              <w:rPr>
                <w:rFonts w:ascii="Noto Sans" w:eastAsia="Noto Sans" w:hAnsi="Noto Sans" w:cs="Noto Sans"/>
                <w:sz w:val="20"/>
                <w:szCs w:val="20"/>
              </w:rPr>
              <w:t>ÁREA REQUIRENTE</w:t>
            </w:r>
          </w:p>
          <w:p w14:paraId="0000016D" w14:textId="77777777" w:rsidR="00763B82" w:rsidRDefault="00763B82">
            <w:pPr>
              <w:ind w:hanging="2"/>
              <w:jc w:val="center"/>
              <w:rPr>
                <w:rFonts w:ascii="Noto Sans" w:eastAsia="Noto Sans" w:hAnsi="Noto Sans" w:cs="Noto Sans"/>
                <w:sz w:val="20"/>
                <w:szCs w:val="20"/>
              </w:rPr>
            </w:pPr>
          </w:p>
          <w:p w14:paraId="0000016E" w14:textId="77777777" w:rsidR="00763B82" w:rsidRDefault="00763B82">
            <w:pPr>
              <w:ind w:hanging="2"/>
              <w:jc w:val="center"/>
              <w:rPr>
                <w:rFonts w:ascii="Noto Sans" w:eastAsia="Noto Sans" w:hAnsi="Noto Sans" w:cs="Noto Sans"/>
                <w:sz w:val="20"/>
                <w:szCs w:val="20"/>
              </w:rPr>
            </w:pPr>
          </w:p>
          <w:p w14:paraId="0000016F" w14:textId="77777777" w:rsidR="00763B82" w:rsidRDefault="00763B82">
            <w:pPr>
              <w:ind w:hanging="2"/>
              <w:jc w:val="center"/>
              <w:rPr>
                <w:rFonts w:ascii="Noto Sans" w:eastAsia="Noto Sans" w:hAnsi="Noto Sans" w:cs="Noto Sans"/>
                <w:sz w:val="20"/>
                <w:szCs w:val="20"/>
              </w:rPr>
            </w:pPr>
          </w:p>
          <w:p w14:paraId="00000170" w14:textId="77777777" w:rsidR="00763B82" w:rsidRDefault="00763B82">
            <w:pPr>
              <w:ind w:hanging="2"/>
              <w:jc w:val="center"/>
              <w:rPr>
                <w:rFonts w:ascii="Noto Sans" w:eastAsia="Noto Sans" w:hAnsi="Noto Sans" w:cs="Noto Sans"/>
                <w:sz w:val="20"/>
                <w:szCs w:val="20"/>
              </w:rPr>
            </w:pPr>
          </w:p>
        </w:tc>
      </w:tr>
    </w:tbl>
    <w:p w14:paraId="00000171" w14:textId="77777777" w:rsidR="00763B82" w:rsidRDefault="00101471">
      <w:pPr>
        <w:jc w:val="center"/>
        <w:rPr>
          <w:rFonts w:ascii="Noto Sans" w:eastAsia="Noto Sans" w:hAnsi="Noto Sans" w:cs="Noto Sans"/>
          <w:sz w:val="20"/>
          <w:szCs w:val="20"/>
        </w:rPr>
      </w:pPr>
      <w:r>
        <w:rPr>
          <w:rFonts w:ascii="Noto Sans" w:eastAsia="Noto Sans" w:hAnsi="Noto Sans" w:cs="Noto Sans"/>
          <w:sz w:val="20"/>
          <w:szCs w:val="20"/>
        </w:rPr>
        <w:t>Dra. Rocío del Carmen Mendoza Trujillo</w:t>
      </w:r>
    </w:p>
    <w:p w14:paraId="00000172" w14:textId="77777777" w:rsidR="00763B82" w:rsidRDefault="00101471">
      <w:pPr>
        <w:jc w:val="center"/>
        <w:rPr>
          <w:rFonts w:ascii="Noto Sans" w:eastAsia="Noto Sans" w:hAnsi="Noto Sans" w:cs="Noto Sans"/>
          <w:sz w:val="20"/>
          <w:szCs w:val="20"/>
        </w:rPr>
      </w:pPr>
      <w:r>
        <w:rPr>
          <w:rFonts w:ascii="Noto Sans" w:eastAsia="Noto Sans" w:hAnsi="Noto Sans" w:cs="Noto Sans"/>
          <w:sz w:val="20"/>
          <w:szCs w:val="20"/>
        </w:rPr>
        <w:br/>
      </w:r>
      <w:r>
        <w:rPr>
          <w:rFonts w:ascii="Noto Sans" w:eastAsia="Noto Sans" w:hAnsi="Noto Sans" w:cs="Noto Sans"/>
          <w:sz w:val="20"/>
          <w:szCs w:val="20"/>
        </w:rPr>
        <w:br/>
      </w:r>
    </w:p>
    <w:p w14:paraId="00000173" w14:textId="77777777" w:rsidR="00763B82" w:rsidRDefault="00101471">
      <w:pPr>
        <w:jc w:val="center"/>
        <w:rPr>
          <w:rFonts w:ascii="Noto Sans" w:eastAsia="Noto Sans" w:hAnsi="Noto Sans" w:cs="Noto Sans"/>
          <w:sz w:val="20"/>
          <w:szCs w:val="20"/>
        </w:rPr>
      </w:pPr>
      <w:r>
        <w:rPr>
          <w:rFonts w:ascii="Noto Sans" w:eastAsia="Noto Sans" w:hAnsi="Noto Sans" w:cs="Noto Sans"/>
          <w:sz w:val="20"/>
          <w:szCs w:val="20"/>
        </w:rPr>
        <w:t>Titular de la Coordinación del Hospital Regional de Alta </w:t>
      </w:r>
    </w:p>
    <w:p w14:paraId="00000174" w14:textId="77777777" w:rsidR="00763B82" w:rsidRDefault="00101471">
      <w:pPr>
        <w:jc w:val="center"/>
        <w:rPr>
          <w:rFonts w:ascii="Noto Sans" w:eastAsia="Noto Sans" w:hAnsi="Noto Sans" w:cs="Noto Sans"/>
          <w:sz w:val="20"/>
          <w:szCs w:val="20"/>
        </w:rPr>
      </w:pPr>
      <w:r>
        <w:rPr>
          <w:rFonts w:ascii="Noto Sans" w:eastAsia="Noto Sans" w:hAnsi="Noto Sans" w:cs="Noto Sans"/>
          <w:sz w:val="20"/>
          <w:szCs w:val="20"/>
        </w:rPr>
        <w:t>Especialidad del Bajío, adscrito a los Servicios de Salud </w:t>
      </w:r>
    </w:p>
    <w:p w14:paraId="00000175" w14:textId="77777777" w:rsidR="00763B82" w:rsidRDefault="00101471">
      <w:pPr>
        <w:jc w:val="center"/>
        <w:rPr>
          <w:rFonts w:ascii="Noto Sans" w:eastAsia="Noto Sans" w:hAnsi="Noto Sans" w:cs="Noto Sans"/>
          <w:sz w:val="20"/>
          <w:szCs w:val="20"/>
        </w:rPr>
      </w:pPr>
      <w:r>
        <w:rPr>
          <w:rFonts w:ascii="Noto Sans" w:eastAsia="Noto Sans" w:hAnsi="Noto Sans" w:cs="Noto Sans"/>
          <w:sz w:val="20"/>
          <w:szCs w:val="20"/>
        </w:rPr>
        <w:t>del Instituto Mexicano del Seguro Social para el Bienestar</w:t>
      </w:r>
    </w:p>
    <w:p w14:paraId="00000176" w14:textId="77777777" w:rsidR="00763B82" w:rsidRDefault="00763B82">
      <w:pPr>
        <w:jc w:val="center"/>
        <w:rPr>
          <w:rFonts w:ascii="Noto Sans" w:eastAsia="Noto Sans" w:hAnsi="Noto Sans" w:cs="Noto Sans"/>
          <w:sz w:val="20"/>
          <w:szCs w:val="20"/>
        </w:rPr>
      </w:pPr>
    </w:p>
    <w:p w14:paraId="00000177" w14:textId="77777777" w:rsidR="00763B82" w:rsidRDefault="00763B82">
      <w:pPr>
        <w:jc w:val="center"/>
        <w:rPr>
          <w:rFonts w:ascii="Noto Sans" w:eastAsia="Noto Sans" w:hAnsi="Noto Sans" w:cs="Noto Sans"/>
          <w:sz w:val="20"/>
          <w:szCs w:val="20"/>
        </w:rPr>
      </w:pPr>
    </w:p>
    <w:p w14:paraId="00000178" w14:textId="77777777" w:rsidR="00763B82" w:rsidRDefault="00763B82">
      <w:pPr>
        <w:jc w:val="center"/>
        <w:rPr>
          <w:rFonts w:ascii="Noto Sans" w:eastAsia="Noto Sans" w:hAnsi="Noto Sans" w:cs="Noto Sans"/>
          <w:sz w:val="20"/>
          <w:szCs w:val="20"/>
        </w:rPr>
      </w:pPr>
    </w:p>
    <w:p w14:paraId="00000179" w14:textId="77777777" w:rsidR="00763B82" w:rsidRDefault="00763B82">
      <w:pPr>
        <w:jc w:val="both"/>
        <w:rPr>
          <w:rFonts w:ascii="Noto Sans" w:eastAsia="Noto Sans" w:hAnsi="Noto Sans" w:cs="Noto Sans"/>
          <w:sz w:val="20"/>
          <w:szCs w:val="20"/>
        </w:rPr>
      </w:pPr>
    </w:p>
    <w:sectPr w:rsidR="00763B82">
      <w:headerReference w:type="default" r:id="rId11"/>
      <w:footerReference w:type="default" r:id="rId12"/>
      <w:pgSz w:w="12240" w:h="15840"/>
      <w:pgMar w:top="1138" w:right="1080"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A4338" w14:textId="77777777" w:rsidR="00665A94" w:rsidRDefault="00665A94">
      <w:r>
        <w:separator/>
      </w:r>
    </w:p>
  </w:endnote>
  <w:endnote w:type="continuationSeparator" w:id="0">
    <w:p w14:paraId="0CAE7503" w14:textId="77777777" w:rsidR="00665A94" w:rsidRDefault="00665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060AE28-47A0-46C2-917A-0B31FC6DA142}"/>
    <w:embedBold r:id="rId2" w:fontKey="{CBF88742-B87B-4B7F-997C-62B848D932F6}"/>
  </w:font>
  <w:font w:name="Montserrat">
    <w:panose1 w:val="00000500000000000000"/>
    <w:charset w:val="00"/>
    <w:family w:val="auto"/>
    <w:pitch w:val="variable"/>
    <w:sig w:usb0="2000020F" w:usb1="00000003" w:usb2="00000000" w:usb3="00000000" w:csb0="00000197" w:csb1="00000000"/>
    <w:embedRegular r:id="rId3" w:fontKey="{C3E9D658-3A92-433C-8FFC-A00881E06AEE}"/>
    <w:embedBold r:id="rId4" w:fontKey="{3F391E72-3F17-4E03-A62B-8FFCD275B56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535186C3-FE29-4C40-B295-4EF1B2519020}"/>
    <w:embedBold r:id="rId6" w:fontKey="{A20DB81E-55BC-4ED7-910D-87FEC97BDB36}"/>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7" w:fontKey="{E92EA60B-6D1F-447F-8CA2-58A26E4730AB}"/>
    <w:embedItalic r:id="rId8" w:fontKey="{E877E79D-0967-41B1-8A52-85CB7D33BFFF}"/>
  </w:font>
  <w:font w:name="Segoe UI">
    <w:panose1 w:val="020B0502040204020203"/>
    <w:charset w:val="00"/>
    <w:family w:val="swiss"/>
    <w:pitch w:val="variable"/>
    <w:sig w:usb0="E4002EFF" w:usb1="C000E47F" w:usb2="00000009" w:usb3="00000000" w:csb0="000001FF" w:csb1="00000000"/>
    <w:embedRegular r:id="rId9" w:fontKey="{A1F08966-CCFD-4644-8F0B-1D094538EABA}"/>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0" w:fontKey="{20682F6D-2FDC-46EE-AC2A-AC699D50B13D}"/>
  </w:font>
  <w:font w:name="Arial Unicode MS">
    <w:panose1 w:val="020B0604020202020204"/>
    <w:charset w:val="00"/>
    <w:family w:val="roman"/>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1" w:fontKey="{A51B592B-1EC9-4251-B788-91B301D3991C}"/>
  </w:font>
  <w:font w:name="CG Palacio (W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12" w:fontKey="{C4F93AE4-A631-450B-BD1E-0D6D226FC274}"/>
  </w:font>
  <w:font w:name="Montserrat Light">
    <w:panose1 w:val="00000400000000000000"/>
    <w:charset w:val="00"/>
    <w:family w:val="auto"/>
    <w:pitch w:val="variable"/>
    <w:sig w:usb0="2000020F" w:usb1="00000003" w:usb2="00000000" w:usb3="00000000" w:csb0="00000197" w:csb1="00000000"/>
    <w:embedRegular r:id="rId13" w:fontKey="{A89713D7-DA18-45F0-A664-95AF691759E7}"/>
    <w:embedBold r:id="rId14" w:fontKey="{821CDB81-FA09-43E1-9A6C-AD37A770EF08}"/>
  </w:font>
  <w:font w:name="Noto Sans">
    <w:panose1 w:val="020B0502040504020204"/>
    <w:charset w:val="00"/>
    <w:family w:val="swiss"/>
    <w:pitch w:val="variable"/>
    <w:sig w:usb0="E00002FF" w:usb1="4000201F" w:usb2="08000029" w:usb3="00000000" w:csb0="0000019F" w:csb1="00000000"/>
    <w:embedRegular r:id="rId15" w:fontKey="{327DEE70-243B-49E4-B9E0-DB36154EEA82}"/>
    <w:embedBold r:id="rId16" w:fontKey="{C1DF1A7C-7EF2-4276-AF2A-51270DA35BDF}"/>
    <w:embedItalic r:id="rId17" w:fontKey="{27C37823-47BE-41F8-B52C-7F6D3467B6F0}"/>
  </w:font>
  <w:font w:name="Ge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F" w14:textId="77777777" w:rsidR="00763B82" w:rsidRDefault="00763B82">
    <w:pPr>
      <w:pBdr>
        <w:top w:val="nil"/>
        <w:left w:val="nil"/>
        <w:bottom w:val="nil"/>
        <w:right w:val="nil"/>
        <w:between w:val="nil"/>
      </w:pBdr>
      <w:tabs>
        <w:tab w:val="center" w:pos="4419"/>
        <w:tab w:val="right" w:pos="8838"/>
      </w:tabs>
      <w:jc w:val="center"/>
      <w:rPr>
        <w:rFonts w:ascii="Montserrat Light" w:eastAsia="Montserrat Light" w:hAnsi="Montserrat Light" w:cs="Montserrat Light"/>
        <w:color w:val="000000"/>
        <w:sz w:val="16"/>
        <w:szCs w:val="16"/>
      </w:rPr>
    </w:pPr>
  </w:p>
  <w:p w14:paraId="00000180" w14:textId="5DCC3C0E" w:rsidR="00763B82" w:rsidRDefault="00101471">
    <w:pPr>
      <w:pBdr>
        <w:top w:val="nil"/>
        <w:left w:val="nil"/>
        <w:bottom w:val="nil"/>
        <w:right w:val="nil"/>
        <w:between w:val="nil"/>
      </w:pBdr>
      <w:tabs>
        <w:tab w:val="center" w:pos="4419"/>
        <w:tab w:val="right" w:pos="8838"/>
      </w:tabs>
      <w:jc w:val="center"/>
      <w:rPr>
        <w:rFonts w:ascii="Montserrat Light" w:eastAsia="Montserrat Light" w:hAnsi="Montserrat Light" w:cs="Montserrat Light"/>
        <w:color w:val="000000"/>
        <w:sz w:val="16"/>
        <w:szCs w:val="16"/>
      </w:rPr>
    </w:pPr>
    <w:r>
      <w:rPr>
        <w:rFonts w:ascii="Montserrat Light" w:eastAsia="Montserrat Light" w:hAnsi="Montserrat Light" w:cs="Montserrat Light"/>
        <w:b/>
        <w:bCs/>
        <w:color w:val="000000"/>
        <w:sz w:val="16"/>
        <w:szCs w:val="16"/>
      </w:rPr>
      <w:fldChar w:fldCharType="begin"/>
    </w:r>
    <w:r>
      <w:rPr>
        <w:rFonts w:ascii="Montserrat Light" w:eastAsia="Montserrat Light" w:hAnsi="Montserrat Light" w:cs="Montserrat Light"/>
        <w:b/>
        <w:bCs/>
        <w:color w:val="000000"/>
        <w:sz w:val="16"/>
        <w:szCs w:val="16"/>
      </w:rPr>
      <w:instrText>PAGE</w:instrText>
    </w:r>
    <w:r>
      <w:rPr>
        <w:rFonts w:ascii="Montserrat Light" w:eastAsia="Montserrat Light" w:hAnsi="Montserrat Light" w:cs="Montserrat Light"/>
        <w:b/>
        <w:bCs/>
        <w:color w:val="000000"/>
        <w:sz w:val="16"/>
        <w:szCs w:val="16"/>
      </w:rPr>
      <w:fldChar w:fldCharType="separate"/>
    </w:r>
    <w:r>
      <w:rPr>
        <w:rFonts w:ascii="Montserrat Light" w:eastAsia="Montserrat Light" w:hAnsi="Montserrat Light" w:cs="Montserrat Light"/>
        <w:b/>
        <w:bCs/>
        <w:noProof/>
        <w:color w:val="000000"/>
        <w:sz w:val="16"/>
        <w:szCs w:val="16"/>
      </w:rPr>
      <w:t>1</w:t>
    </w:r>
    <w:r>
      <w:rPr>
        <w:rFonts w:ascii="Montserrat Light" w:eastAsia="Montserrat Light" w:hAnsi="Montserrat Light" w:cs="Montserrat Light"/>
        <w:b/>
        <w:bCs/>
        <w:color w:val="000000"/>
        <w:sz w:val="16"/>
        <w:szCs w:val="16"/>
      </w:rPr>
      <w:fldChar w:fldCharType="end"/>
    </w:r>
    <w:r>
      <w:rPr>
        <w:noProof/>
      </w:rPr>
      <w:drawing>
        <wp:anchor distT="0" distB="0" distL="0" distR="0" simplePos="0" relativeHeight="251659264" behindDoc="1" locked="0" layoutInCell="1" hidden="0" allowOverlap="1" wp14:anchorId="1C381857" wp14:editId="2F0A7CBA">
          <wp:simplePos x="0" y="0"/>
          <wp:positionH relativeFrom="column">
            <wp:posOffset>-457186</wp:posOffset>
          </wp:positionH>
          <wp:positionV relativeFrom="paragraph">
            <wp:posOffset>98694</wp:posOffset>
          </wp:positionV>
          <wp:extent cx="6715125" cy="732115"/>
          <wp:effectExtent l="0" t="0" r="0" b="0"/>
          <wp:wrapNone/>
          <wp:docPr id="107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715125" cy="732115"/>
                  </a:xfrm>
                  <a:prstGeom prst="rect">
                    <a:avLst/>
                  </a:prstGeom>
                  <a:ln/>
                </pic:spPr>
              </pic:pic>
            </a:graphicData>
          </a:graphic>
        </wp:anchor>
      </w:drawing>
    </w:r>
  </w:p>
  <w:p w14:paraId="00000181" w14:textId="77777777" w:rsidR="00763B82" w:rsidRDefault="00101471">
    <w:pPr>
      <w:pBdr>
        <w:top w:val="nil"/>
        <w:left w:val="nil"/>
        <w:bottom w:val="nil"/>
        <w:right w:val="nil"/>
        <w:between w:val="nil"/>
      </w:pBdr>
      <w:tabs>
        <w:tab w:val="center" w:pos="4419"/>
        <w:tab w:val="right" w:pos="8838"/>
      </w:tabs>
      <w:jc w:val="center"/>
      <w:rPr>
        <w:color w:val="000000"/>
        <w:sz w:val="22"/>
        <w:szCs w:val="22"/>
      </w:rPr>
    </w:pPr>
    <w:r>
      <w:rPr>
        <w:noProof/>
      </w:rPr>
      <mc:AlternateContent>
        <mc:Choice Requires="wps">
          <w:drawing>
            <wp:anchor distT="0" distB="0" distL="114300" distR="114300" simplePos="0" relativeHeight="251660288" behindDoc="0" locked="0" layoutInCell="1" hidden="0" allowOverlap="1" wp14:anchorId="405FAB1C" wp14:editId="31342C36">
              <wp:simplePos x="0" y="0"/>
              <wp:positionH relativeFrom="column">
                <wp:posOffset>1454150</wp:posOffset>
              </wp:positionH>
              <wp:positionV relativeFrom="paragraph">
                <wp:posOffset>19050</wp:posOffset>
              </wp:positionV>
              <wp:extent cx="4469765" cy="342900"/>
              <wp:effectExtent l="0" t="0" r="0" b="0"/>
              <wp:wrapNone/>
              <wp:docPr id="1072" name="Rectángulo 1072"/>
              <wp:cNvGraphicFramePr/>
              <a:graphic xmlns:a="http://schemas.openxmlformats.org/drawingml/2006/main">
                <a:graphicData uri="http://schemas.microsoft.com/office/word/2010/wordprocessingShape">
                  <wps:wsp>
                    <wps:cNvSpPr/>
                    <wps:spPr>
                      <a:xfrm>
                        <a:off x="3180968" y="3678400"/>
                        <a:ext cx="4330065" cy="203200"/>
                      </a:xfrm>
                      <a:prstGeom prst="rect">
                        <a:avLst/>
                      </a:prstGeom>
                      <a:solidFill>
                        <a:srgbClr val="FFFFFF"/>
                      </a:solidFill>
                      <a:ln w="12700" cap="flat" cmpd="sng">
                        <a:solidFill>
                          <a:srgbClr val="FFFFFF"/>
                        </a:solidFill>
                        <a:prstDash val="solid"/>
                        <a:round/>
                        <a:headEnd type="none" w="sm" len="sm"/>
                        <a:tailEnd type="none" w="sm" len="sm"/>
                      </a:ln>
                    </wps:spPr>
                    <wps:txbx>
                      <w:txbxContent>
                        <w:p w14:paraId="7C875489" w14:textId="77777777" w:rsidR="00763B82" w:rsidRDefault="00101471">
                          <w:pPr>
                            <w:textDirection w:val="btLr"/>
                          </w:pPr>
                          <w:proofErr w:type="spellStart"/>
                          <w:r>
                            <w:rPr>
                              <w:rFonts w:ascii="Arial" w:eastAsia="Arial" w:hAnsi="Arial" w:cs="Arial"/>
                              <w:color w:val="4D192A"/>
                              <w:sz w:val="13"/>
                            </w:rPr>
                            <w:t>Blvd</w:t>
                          </w:r>
                          <w:proofErr w:type="spellEnd"/>
                          <w:r>
                            <w:rPr>
                              <w:rFonts w:ascii="Arial" w:eastAsia="Arial" w:hAnsi="Arial" w:cs="Arial"/>
                              <w:color w:val="4D192A"/>
                              <w:sz w:val="13"/>
                            </w:rPr>
                            <w:t xml:space="preserve">. Milenio No. 130. Colonia San Carlos la Roncha, CP.37544, León, Guanajuato. Tel: (477) 267 20000   </w:t>
                          </w:r>
                        </w:p>
                        <w:p w14:paraId="6EC3152F" w14:textId="77777777" w:rsidR="00763B82" w:rsidRDefault="00763B82">
                          <w:pPr>
                            <w:textDirection w:val="btLr"/>
                          </w:pPr>
                        </w:p>
                      </w:txbxContent>
                    </wps:txbx>
                    <wps:bodyPr spcFirstLastPara="1" wrap="square" lIns="88900" tIns="38100" rIns="88900" bIns="38100" anchor="t" anchorCtr="0">
                      <a:noAutofit/>
                    </wps:bodyPr>
                  </wps:wsp>
                </a:graphicData>
              </a:graphic>
            </wp:anchor>
          </w:drawing>
        </mc:Choice>
        <mc:Fallback>
          <w:pict>
            <v:rect w14:anchorId="405FAB1C" id="Rectángulo 1072" o:spid="_x0000_s1026" style="position:absolute;left:0;text-align:left;margin-left:114.5pt;margin-top:1.5pt;width:351.95pt;height:2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" strokecolor="white" strokeweight="1pt">
              <v:stroke startarrowwidth="narrow" startarrowlength="short" endarrowwidth="narrow" endarrowlength="short" joinstyle="round"/>
              <v:textbox inset="7pt,3pt,7pt,3pt">
                <w:txbxContent>
                  <w:p w14:paraId="7C875489" w14:textId="77777777" w:rsidR="00763B82" w:rsidRDefault="00101471">
                    <w:pPr>
                      <w:textDirection w:val="btLr"/>
                    </w:pPr>
                    <w:r>
                      <w:rPr>
                        <w:rFonts w:ascii="Arial" w:eastAsia="Arial" w:hAnsi="Arial" w:cs="Arial"/>
                        <w:color w:val="4D192A"/>
                        <w:sz w:val="13"/>
                      </w:rPr>
                      <w:t xml:space="preserve">Blvd. Milenio No. 130. Colonia San Carlos la Roncha, CP.37544, León, Guanajuato. Tel: (477) 267 20000   </w:t>
                    </w:r>
                  </w:p>
                  <w:p w14:paraId="6EC3152F" w14:textId="77777777" w:rsidR="00763B82" w:rsidRDefault="00763B82">
                    <w:pPr>
                      <w:textDirection w:val="btLr"/>
                    </w:pPr>
                  </w:p>
                </w:txbxContent>
              </v:textbox>
            </v:rect>
          </w:pict>
        </mc:Fallback>
      </mc:AlternateContent>
    </w:r>
  </w:p>
  <w:p w14:paraId="00000182" w14:textId="77777777" w:rsidR="00763B82" w:rsidRDefault="00763B82">
    <w:pPr>
      <w:pBdr>
        <w:top w:val="nil"/>
        <w:left w:val="nil"/>
        <w:bottom w:val="nil"/>
        <w:right w:val="nil"/>
        <w:between w:val="nil"/>
      </w:pBdr>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E1FBF" w14:textId="77777777" w:rsidR="00665A94" w:rsidRDefault="00665A94">
      <w:r>
        <w:separator/>
      </w:r>
    </w:p>
  </w:footnote>
  <w:footnote w:type="continuationSeparator" w:id="0">
    <w:p w14:paraId="10D206AC" w14:textId="77777777" w:rsidR="00665A94" w:rsidRDefault="00665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A" w14:textId="77777777" w:rsidR="00763B82" w:rsidRDefault="00101471">
    <w:pPr>
      <w:jc w:val="right"/>
      <w:rPr>
        <w:rFonts w:ascii="Geo" w:eastAsia="Geo" w:hAnsi="Geo" w:cs="Geo"/>
        <w:b/>
        <w:bCs/>
        <w:sz w:val="20"/>
        <w:szCs w:val="20"/>
      </w:rPr>
    </w:pPr>
    <w:r>
      <w:rPr>
        <w:noProof/>
      </w:rPr>
      <w:drawing>
        <wp:anchor distT="0" distB="0" distL="114300" distR="114300" simplePos="0" relativeHeight="251658240" behindDoc="0" locked="0" layoutInCell="1" hidden="0" allowOverlap="1" wp14:anchorId="0B024021" wp14:editId="7062DFFE">
          <wp:simplePos x="0" y="0"/>
          <wp:positionH relativeFrom="column">
            <wp:posOffset>-114288</wp:posOffset>
          </wp:positionH>
          <wp:positionV relativeFrom="paragraph">
            <wp:posOffset>-361937</wp:posOffset>
          </wp:positionV>
          <wp:extent cx="6627495" cy="855980"/>
          <wp:effectExtent l="0" t="0" r="0" b="0"/>
          <wp:wrapNone/>
          <wp:docPr id="10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27495" cy="855980"/>
                  </a:xfrm>
                  <a:prstGeom prst="rect">
                    <a:avLst/>
                  </a:prstGeom>
                  <a:ln/>
                </pic:spPr>
              </pic:pic>
            </a:graphicData>
          </a:graphic>
        </wp:anchor>
      </w:drawing>
    </w:r>
  </w:p>
  <w:p w14:paraId="0000017B" w14:textId="77777777" w:rsidR="00763B82" w:rsidRDefault="00101471">
    <w:pPr>
      <w:tabs>
        <w:tab w:val="left" w:pos="8352"/>
        <w:tab w:val="right" w:pos="10080"/>
      </w:tabs>
      <w:rPr>
        <w:rFonts w:ascii="Geo" w:eastAsia="Geo" w:hAnsi="Geo" w:cs="Geo"/>
        <w:b/>
        <w:bCs/>
        <w:sz w:val="20"/>
        <w:szCs w:val="20"/>
      </w:rPr>
    </w:pPr>
    <w:r>
      <w:rPr>
        <w:rFonts w:ascii="Geo" w:eastAsia="Geo" w:hAnsi="Geo" w:cs="Geo"/>
        <w:b/>
        <w:bCs/>
        <w:sz w:val="20"/>
        <w:szCs w:val="20"/>
      </w:rPr>
      <w:tab/>
    </w:r>
    <w:r>
      <w:rPr>
        <w:rFonts w:ascii="Geo" w:eastAsia="Geo" w:hAnsi="Geo" w:cs="Geo"/>
        <w:b/>
        <w:bCs/>
        <w:sz w:val="20"/>
        <w:szCs w:val="20"/>
      </w:rPr>
      <w:tab/>
    </w:r>
  </w:p>
  <w:p w14:paraId="0000017C" w14:textId="77777777" w:rsidR="00763B82" w:rsidRDefault="00763B82">
    <w:pPr>
      <w:jc w:val="right"/>
      <w:rPr>
        <w:rFonts w:ascii="Geo" w:eastAsia="Geo" w:hAnsi="Geo" w:cs="Geo"/>
        <w:b/>
        <w:bCs/>
        <w:sz w:val="20"/>
        <w:szCs w:val="20"/>
      </w:rPr>
    </w:pPr>
  </w:p>
  <w:p w14:paraId="0000017D" w14:textId="77777777" w:rsidR="00763B82" w:rsidRDefault="00763B82">
    <w:pPr>
      <w:jc w:val="right"/>
      <w:rPr>
        <w:rFonts w:ascii="Geo" w:eastAsia="Geo" w:hAnsi="Geo" w:cs="Geo"/>
        <w:b/>
        <w:bCs/>
        <w:sz w:val="20"/>
        <w:szCs w:val="20"/>
      </w:rPr>
    </w:pPr>
  </w:p>
  <w:p w14:paraId="0000017E" w14:textId="77777777" w:rsidR="00763B82" w:rsidRDefault="00763B82">
    <w:pPr>
      <w:jc w:val="right"/>
      <w:rPr>
        <w:rFonts w:ascii="Geo" w:eastAsia="Geo" w:hAnsi="Geo" w:cs="Geo"/>
        <w:b/>
        <w:bCs/>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6A7D98"/>
    <w:multiLevelType w:val="multilevel"/>
    <w:tmpl w:val="F99C5AA6"/>
    <w:lvl w:ilvl="0">
      <w:start w:val="1"/>
      <w:numFmt w:val="upperLetter"/>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1" w15:restartNumberingAfterBreak="0">
    <w:nsid w:val="52956206"/>
    <w:multiLevelType w:val="multilevel"/>
    <w:tmpl w:val="8C5658FE"/>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5CAA22F5"/>
    <w:multiLevelType w:val="multilevel"/>
    <w:tmpl w:val="99086796"/>
    <w:lvl w:ilvl="0">
      <w:start w:val="1"/>
      <w:numFmt w:val="bullet"/>
      <w:pStyle w:val="Listaconvietas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3212F77"/>
    <w:multiLevelType w:val="hybridMultilevel"/>
    <w:tmpl w:val="97AE56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726435B5"/>
    <w:multiLevelType w:val="multilevel"/>
    <w:tmpl w:val="2174B126"/>
    <w:lvl w:ilvl="0">
      <w:start w:val="1"/>
      <w:numFmt w:val="upperRoman"/>
      <w:lvlText w:val="%1."/>
      <w:lvlJc w:val="left"/>
      <w:pPr>
        <w:ind w:left="720" w:hanging="72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5" w15:restartNumberingAfterBreak="0">
    <w:nsid w:val="7D284528"/>
    <w:multiLevelType w:val="multilevel"/>
    <w:tmpl w:val="B79A42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02012157">
    <w:abstractNumId w:val="0"/>
  </w:num>
  <w:num w:numId="2" w16cid:durableId="1589532317">
    <w:abstractNumId w:val="5"/>
  </w:num>
  <w:num w:numId="3" w16cid:durableId="714505336">
    <w:abstractNumId w:val="1"/>
  </w:num>
  <w:num w:numId="4" w16cid:durableId="1085300665">
    <w:abstractNumId w:val="2"/>
  </w:num>
  <w:num w:numId="5" w16cid:durableId="1126040944">
    <w:abstractNumId w:val="4"/>
  </w:num>
  <w:num w:numId="6" w16cid:durableId="100663775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3B82"/>
    <w:rsid w:val="00101471"/>
    <w:rsid w:val="003118F8"/>
    <w:rsid w:val="00327762"/>
    <w:rsid w:val="004A20F1"/>
    <w:rsid w:val="0054513D"/>
    <w:rsid w:val="00665A94"/>
    <w:rsid w:val="006D45CB"/>
    <w:rsid w:val="00763B82"/>
    <w:rsid w:val="009025A7"/>
    <w:rsid w:val="00A312C6"/>
    <w:rsid w:val="00CE1E4B"/>
    <w:rsid w:val="00DB6DF9"/>
    <w:rsid w:val="00DF0E46"/>
    <w:rsid w:val="00F67160"/>
    <w:rsid w:val="00FA3DA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C6B20"/>
  <w15:docId w15:val="{859521A1-1168-4BFA-BF8B-3FB4971EC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ind w:left="709"/>
      <w:jc w:val="both"/>
      <w:outlineLvl w:val="0"/>
    </w:pPr>
    <w:rPr>
      <w:rFonts w:ascii="Montserrat" w:eastAsia="Montserrat" w:hAnsi="Montserrat" w:cs="Montserrat"/>
      <w:b/>
      <w:bCs/>
      <w:color w:val="366091"/>
      <w:sz w:val="28"/>
      <w:szCs w:val="28"/>
    </w:rPr>
  </w:style>
  <w:style w:type="paragraph" w:styleId="Ttulo2">
    <w:name w:val="heading 2"/>
    <w:basedOn w:val="Normal"/>
    <w:next w:val="Normal"/>
    <w:uiPriority w:val="9"/>
    <w:semiHidden/>
    <w:unhideWhenUsed/>
    <w:qFormat/>
    <w:pPr>
      <w:keepNext/>
      <w:keepLines/>
      <w:spacing w:before="200"/>
      <w:ind w:left="709"/>
      <w:jc w:val="both"/>
      <w:outlineLvl w:val="1"/>
    </w:pPr>
    <w:rPr>
      <w:rFonts w:ascii="Montserrat" w:eastAsia="Montserrat" w:hAnsi="Montserrat" w:cs="Montserrat"/>
      <w:b/>
      <w:bCs/>
      <w:color w:val="4F81BD"/>
      <w:sz w:val="26"/>
      <w:szCs w:val="26"/>
    </w:rPr>
  </w:style>
  <w:style w:type="paragraph" w:styleId="Ttulo3">
    <w:name w:val="heading 3"/>
    <w:basedOn w:val="Normal"/>
    <w:next w:val="Normal"/>
    <w:uiPriority w:val="9"/>
    <w:semiHidden/>
    <w:unhideWhenUsed/>
    <w:qFormat/>
    <w:pPr>
      <w:ind w:left="709"/>
      <w:jc w:val="both"/>
      <w:outlineLvl w:val="2"/>
    </w:pPr>
    <w:rPr>
      <w:rFonts w:ascii="Times New Roman" w:eastAsia="Times New Roman" w:hAnsi="Times New Roman" w:cs="Times New Roman"/>
      <w:b/>
      <w:bCs/>
      <w:sz w:val="27"/>
      <w:szCs w:val="27"/>
    </w:rPr>
  </w:style>
  <w:style w:type="paragraph" w:styleId="Ttulo4">
    <w:name w:val="heading 4"/>
    <w:basedOn w:val="Normal"/>
    <w:next w:val="Normal"/>
    <w:uiPriority w:val="9"/>
    <w:semiHidden/>
    <w:unhideWhenUsed/>
    <w:qFormat/>
    <w:pPr>
      <w:keepNext/>
      <w:keepLines/>
      <w:spacing w:before="240" w:after="40"/>
      <w:ind w:left="709"/>
      <w:jc w:val="both"/>
      <w:outlineLvl w:val="3"/>
    </w:pPr>
    <w:rPr>
      <w:b/>
      <w:bCs/>
    </w:rPr>
  </w:style>
  <w:style w:type="paragraph" w:styleId="Ttulo5">
    <w:name w:val="heading 5"/>
    <w:basedOn w:val="Normal"/>
    <w:next w:val="Normal"/>
    <w:uiPriority w:val="9"/>
    <w:semiHidden/>
    <w:unhideWhenUsed/>
    <w:qFormat/>
    <w:pPr>
      <w:keepNext/>
      <w:keepLines/>
      <w:spacing w:before="220" w:after="40"/>
      <w:ind w:left="709"/>
      <w:jc w:val="both"/>
      <w:outlineLvl w:val="4"/>
    </w:pPr>
    <w:rPr>
      <w:b/>
      <w:bCs/>
      <w:sz w:val="22"/>
      <w:szCs w:val="22"/>
    </w:rPr>
  </w:style>
  <w:style w:type="paragraph" w:styleId="Ttulo6">
    <w:name w:val="heading 6"/>
    <w:basedOn w:val="Normal"/>
    <w:next w:val="Normal"/>
    <w:uiPriority w:val="9"/>
    <w:semiHidden/>
    <w:unhideWhenUsed/>
    <w:qFormat/>
    <w:pPr>
      <w:keepNext/>
      <w:keepLines/>
      <w:spacing w:before="200" w:after="40"/>
      <w:ind w:left="709"/>
      <w:jc w:val="both"/>
      <w:outlineLvl w:val="5"/>
    </w:pPr>
    <w:rPr>
      <w:b/>
      <w:bCs/>
      <w:sz w:val="20"/>
      <w:szCs w:val="20"/>
    </w:rPr>
  </w:style>
  <w:style w:type="paragraph" w:styleId="Ttulo7">
    <w:name w:val="heading 7"/>
    <w:basedOn w:val="Normal"/>
    <w:next w:val="Normal"/>
    <w:pPr>
      <w:suppressAutoHyphens/>
      <w:spacing w:before="240" w:after="60" w:line="1" w:lineRule="atLeast"/>
      <w:ind w:leftChars="-1" w:left="-1" w:hangingChars="1" w:hanging="1"/>
      <w:textDirection w:val="btLr"/>
      <w:textAlignment w:val="top"/>
      <w:outlineLvl w:val="6"/>
    </w:pPr>
    <w:rPr>
      <w:rFonts w:ascii="Times New Roman" w:eastAsia="Times New Roman" w:hAnsi="Times New Roman" w:cs="Times New Roman"/>
      <w:position w:val="-1"/>
      <w:lang w:val="es-ES" w:eastAsia="es-ES"/>
    </w:rPr>
  </w:style>
  <w:style w:type="paragraph" w:styleId="Ttulo8">
    <w:name w:val="heading 8"/>
    <w:basedOn w:val="Normal"/>
    <w:next w:val="Normal"/>
    <w:pPr>
      <w:suppressAutoHyphens/>
      <w:spacing w:before="240" w:after="60" w:line="1" w:lineRule="atLeast"/>
      <w:ind w:leftChars="-1" w:left="-1" w:hangingChars="1" w:hanging="1"/>
      <w:textDirection w:val="btLr"/>
      <w:textAlignment w:val="top"/>
      <w:outlineLvl w:val="7"/>
    </w:pPr>
    <w:rPr>
      <w:rFonts w:ascii="Times New Roman" w:eastAsia="Times New Roman" w:hAnsi="Times New Roman" w:cs="Times New Roman"/>
      <w:i/>
      <w:iCs/>
      <w:position w:val="-1"/>
      <w:lang w:val="es-ES" w:eastAsia="es-ES"/>
    </w:rPr>
  </w:style>
  <w:style w:type="paragraph" w:styleId="Ttulo9">
    <w:name w:val="heading 9"/>
    <w:basedOn w:val="Normal"/>
    <w:next w:val="Normal"/>
    <w:pPr>
      <w:spacing w:before="240" w:after="60" w:line="1" w:lineRule="atLeast"/>
      <w:ind w:leftChars="-1" w:left="-1" w:hangingChars="1" w:hanging="1"/>
      <w:textDirection w:val="btLr"/>
      <w:textAlignment w:val="top"/>
      <w:outlineLvl w:val="8"/>
    </w:pPr>
    <w:rPr>
      <w:rFonts w:ascii="Arial" w:eastAsia="Times New Roman" w:hAnsi="Arial" w:cs="Arial"/>
      <w:position w:val="-1"/>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ind w:left="709"/>
      <w:jc w:val="both"/>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Normal"/>
    <w:tblPr>
      <w:tblCellMar>
        <w:top w:w="0" w:type="dxa"/>
        <w:left w:w="0" w:type="dxa"/>
        <w:bottom w:w="0" w:type="dxa"/>
        <w:right w:w="0" w:type="dxa"/>
      </w:tblCellMar>
    </w:tblPr>
  </w:style>
  <w:style w:type="table" w:customStyle="1" w:styleId="TableNormal5">
    <w:name w:val="TableNormal"/>
    <w:tblPr>
      <w:tblCellMar>
        <w:top w:w="0" w:type="dxa"/>
        <w:left w:w="0" w:type="dxa"/>
        <w:bottom w:w="0" w:type="dxa"/>
        <w:right w:w="0" w:type="dxa"/>
      </w:tblCellMar>
    </w:tblPr>
  </w:style>
  <w:style w:type="table" w:customStyle="1" w:styleId="TableNormal6">
    <w:name w:val="TableNormal"/>
    <w:tblPr>
      <w:tblCellMar>
        <w:top w:w="0" w:type="dxa"/>
        <w:left w:w="0" w:type="dxa"/>
        <w:bottom w:w="0" w:type="dxa"/>
        <w:right w:w="0" w:type="dxa"/>
      </w:tblCellMar>
    </w:tblPr>
  </w:style>
  <w:style w:type="table" w:customStyle="1" w:styleId="TableNormal7">
    <w:name w:val="TableNormal"/>
    <w:tblPr>
      <w:tblCellMar>
        <w:top w:w="0" w:type="dxa"/>
        <w:left w:w="0" w:type="dxa"/>
        <w:bottom w:w="0" w:type="dxa"/>
        <w:right w:w="0" w:type="dxa"/>
      </w:tblCellMar>
    </w:tblPr>
  </w:style>
  <w:style w:type="table" w:customStyle="1" w:styleId="TableNormal8">
    <w:name w:val="TableNormal"/>
    <w:tblPr>
      <w:tblCellMar>
        <w:top w:w="0" w:type="dxa"/>
        <w:left w:w="0" w:type="dxa"/>
        <w:bottom w:w="0" w:type="dxa"/>
        <w:right w:w="0" w:type="dxa"/>
      </w:tblCellMar>
    </w:tblPr>
  </w:style>
  <w:style w:type="table" w:customStyle="1" w:styleId="TableNormal9">
    <w:name w:val="TableNormal"/>
    <w:tblPr>
      <w:tblCellMar>
        <w:top w:w="0" w:type="dxa"/>
        <w:left w:w="0" w:type="dxa"/>
        <w:bottom w:w="0" w:type="dxa"/>
        <w:right w:w="0" w:type="dxa"/>
      </w:tblCellMar>
    </w:tblPr>
  </w:style>
  <w:style w:type="paragraph" w:customStyle="1" w:styleId="Encabezado1">
    <w:name w:val="Encabezado1"/>
    <w:aliases w:val="Car1 Car,h Car Car"/>
    <w:basedOn w:val="Normal"/>
    <w:qFormat/>
    <w:pPr>
      <w:suppressAutoHyphens/>
      <w:spacing w:line="1" w:lineRule="atLeast"/>
      <w:ind w:leftChars="-1" w:left="-1" w:hangingChars="1" w:hanging="1"/>
      <w:textDirection w:val="btLr"/>
      <w:textAlignment w:val="top"/>
      <w:outlineLvl w:val="0"/>
    </w:pPr>
    <w:rPr>
      <w:position w:val="-1"/>
      <w:lang w:val="es-ES" w:eastAsia="en-US"/>
    </w:rPr>
  </w:style>
  <w:style w:type="character" w:customStyle="1" w:styleId="EncabezadoCar">
    <w:name w:val="Encabezado Car"/>
    <w:aliases w:val="Car1 Car Car,h Car Car Car"/>
    <w:rPr>
      <w:w w:val="100"/>
      <w:position w:val="-1"/>
      <w:effect w:val="none"/>
      <w:vertAlign w:val="baseline"/>
      <w:cs w:val="0"/>
      <w:em w:val="none"/>
      <w:lang w:val="es-ES"/>
    </w:rPr>
  </w:style>
  <w:style w:type="paragraph" w:styleId="Piedepgina">
    <w:name w:val="footer"/>
    <w:basedOn w:val="Normal"/>
    <w:qFormat/>
    <w:pPr>
      <w:suppressAutoHyphens/>
      <w:spacing w:line="1" w:lineRule="atLeast"/>
      <w:ind w:leftChars="-1" w:left="-1" w:hangingChars="1" w:hanging="1"/>
      <w:textDirection w:val="btLr"/>
      <w:textAlignment w:val="top"/>
      <w:outlineLvl w:val="0"/>
    </w:pPr>
    <w:rPr>
      <w:position w:val="-1"/>
      <w:lang w:val="es-ES" w:eastAsia="en-US"/>
    </w:rPr>
  </w:style>
  <w:style w:type="character" w:customStyle="1" w:styleId="PiedepginaCar">
    <w:name w:val="Pie de página Car"/>
    <w:rPr>
      <w:w w:val="100"/>
      <w:position w:val="-1"/>
      <w:effect w:val="none"/>
      <w:vertAlign w:val="baseline"/>
      <w:cs w:val="0"/>
      <w:em w:val="none"/>
      <w:lang w:val="es-ES"/>
    </w:rPr>
  </w:style>
  <w:style w:type="table" w:styleId="Tablaconcuadrcula">
    <w:name w:val="Table Grid"/>
    <w:basedOn w:val="Tablanormal"/>
    <w:pPr>
      <w:suppressAutoHyphens/>
      <w:spacing w:line="1" w:lineRule="atLeast"/>
      <w:ind w:leftChars="-1" w:left="-1" w:hangingChars="1" w:hanging="1"/>
      <w:textDirection w:val="btLr"/>
      <w:textAlignment w:val="top"/>
      <w:outlineLvl w:val="0"/>
    </w:pPr>
    <w:rPr>
      <w:rFonts w:ascii="Cambria" w:eastAsia="MS Mincho" w:hAnsi="Cambria" w:cs="Times New Roman"/>
      <w:position w:val="-1"/>
      <w:sz w:val="20"/>
      <w:szCs w:val="20"/>
      <w:lang w:val="es-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pPr>
      <w:suppressAutoHyphens/>
      <w:spacing w:line="1" w:lineRule="atLeast"/>
      <w:ind w:leftChars="-1" w:left="-1" w:hangingChars="1" w:hanging="1"/>
      <w:textDirection w:val="btLr"/>
      <w:textAlignment w:val="top"/>
      <w:outlineLvl w:val="0"/>
    </w:pPr>
    <w:rPr>
      <w:position w:val="-1"/>
      <w:sz w:val="22"/>
      <w:szCs w:val="22"/>
      <w:lang w:val="es-MX" w:eastAsia="en-US"/>
    </w:rPr>
  </w:style>
  <w:style w:type="character" w:customStyle="1" w:styleId="Ttulo1Car">
    <w:name w:val="Título 1 Car"/>
    <w:rPr>
      <w:rFonts w:ascii="Montserrat" w:eastAsia="Cambria" w:hAnsi="Montserrat" w:cs="Cambria"/>
      <w:b/>
      <w:color w:val="366091"/>
      <w:w w:val="100"/>
      <w:position w:val="-1"/>
      <w:sz w:val="28"/>
      <w:szCs w:val="28"/>
      <w:effect w:val="none"/>
      <w:vertAlign w:val="baseline"/>
      <w:cs w:val="0"/>
      <w:em w:val="none"/>
      <w:lang w:eastAsia="ja-JP"/>
    </w:rPr>
  </w:style>
  <w:style w:type="character" w:customStyle="1" w:styleId="Ttulo2Car">
    <w:name w:val="Título 2 Car"/>
    <w:rPr>
      <w:rFonts w:ascii="Montserrat" w:eastAsia="Cambria" w:hAnsi="Montserrat" w:cs="Cambria"/>
      <w:b/>
      <w:color w:val="4F81BD"/>
      <w:w w:val="100"/>
      <w:position w:val="-1"/>
      <w:sz w:val="26"/>
      <w:szCs w:val="26"/>
      <w:effect w:val="none"/>
      <w:vertAlign w:val="baseline"/>
      <w:cs w:val="0"/>
      <w:em w:val="none"/>
      <w:lang w:eastAsia="ja-JP"/>
    </w:rPr>
  </w:style>
  <w:style w:type="character" w:customStyle="1" w:styleId="Ttulo3Car">
    <w:name w:val="Título 3 Car"/>
    <w:rPr>
      <w:rFonts w:ascii="Times New Roman" w:eastAsia="Times New Roman" w:hAnsi="Times New Roman" w:cs="Times New Roman"/>
      <w:b/>
      <w:w w:val="100"/>
      <w:position w:val="-1"/>
      <w:sz w:val="27"/>
      <w:szCs w:val="27"/>
      <w:effect w:val="none"/>
      <w:vertAlign w:val="baseline"/>
      <w:cs w:val="0"/>
      <w:em w:val="none"/>
      <w:lang w:eastAsia="ja-JP"/>
    </w:rPr>
  </w:style>
  <w:style w:type="character" w:customStyle="1" w:styleId="Ttulo4Car">
    <w:name w:val="Título 4 Car"/>
    <w:rPr>
      <w:rFonts w:ascii="Calibri" w:eastAsia="Calibri" w:hAnsi="Calibri" w:cs="Calibri"/>
      <w:b/>
      <w:w w:val="100"/>
      <w:position w:val="-1"/>
      <w:effect w:val="none"/>
      <w:vertAlign w:val="baseline"/>
      <w:cs w:val="0"/>
      <w:em w:val="none"/>
      <w:lang w:eastAsia="ja-JP"/>
    </w:rPr>
  </w:style>
  <w:style w:type="character" w:customStyle="1" w:styleId="Ttulo5Car">
    <w:name w:val="Título 5 Car"/>
    <w:rPr>
      <w:rFonts w:ascii="Calibri" w:eastAsia="Calibri" w:hAnsi="Calibri" w:cs="Calibri"/>
      <w:b/>
      <w:w w:val="100"/>
      <w:position w:val="-1"/>
      <w:sz w:val="22"/>
      <w:szCs w:val="22"/>
      <w:effect w:val="none"/>
      <w:vertAlign w:val="baseline"/>
      <w:cs w:val="0"/>
      <w:em w:val="none"/>
      <w:lang w:eastAsia="ja-JP"/>
    </w:rPr>
  </w:style>
  <w:style w:type="character" w:customStyle="1" w:styleId="Ttulo6Car">
    <w:name w:val="Título 6 Car"/>
    <w:rPr>
      <w:rFonts w:ascii="Calibri" w:eastAsia="Calibri" w:hAnsi="Calibri" w:cs="Calibri"/>
      <w:b/>
      <w:w w:val="100"/>
      <w:position w:val="-1"/>
      <w:sz w:val="20"/>
      <w:szCs w:val="20"/>
      <w:effect w:val="none"/>
      <w:vertAlign w:val="baseline"/>
      <w:cs w:val="0"/>
      <w:em w:val="none"/>
      <w:lang w:eastAsia="ja-JP"/>
    </w:rPr>
  </w:style>
  <w:style w:type="character" w:customStyle="1" w:styleId="Ttulo7Car">
    <w:name w:val="Título 7 Car"/>
    <w:rPr>
      <w:rFonts w:ascii="Times New Roman" w:eastAsia="Times New Roman" w:hAnsi="Times New Roman" w:cs="Times New Roman"/>
      <w:w w:val="100"/>
      <w:position w:val="-1"/>
      <w:effect w:val="none"/>
      <w:vertAlign w:val="baseline"/>
      <w:cs w:val="0"/>
      <w:em w:val="none"/>
      <w:lang w:val="es-ES" w:eastAsia="es-ES"/>
    </w:rPr>
  </w:style>
  <w:style w:type="character" w:customStyle="1" w:styleId="Ttulo8Car">
    <w:name w:val="Título 8 Car"/>
    <w:rPr>
      <w:rFonts w:ascii="Times New Roman" w:eastAsia="Times New Roman" w:hAnsi="Times New Roman" w:cs="Times New Roman"/>
      <w:i/>
      <w:iCs/>
      <w:w w:val="100"/>
      <w:position w:val="-1"/>
      <w:effect w:val="none"/>
      <w:vertAlign w:val="baseline"/>
      <w:cs w:val="0"/>
      <w:em w:val="none"/>
      <w:lang w:val="es-ES" w:eastAsia="es-ES"/>
    </w:rPr>
  </w:style>
  <w:style w:type="character" w:customStyle="1" w:styleId="Ttulo9Car">
    <w:name w:val="Título 9 Car"/>
    <w:rPr>
      <w:rFonts w:ascii="Arial" w:eastAsia="Times New Roman" w:hAnsi="Arial" w:cs="Arial"/>
      <w:w w:val="100"/>
      <w:position w:val="-1"/>
      <w:sz w:val="22"/>
      <w:szCs w:val="22"/>
      <w:effect w:val="none"/>
      <w:vertAlign w:val="baseline"/>
      <w:cs w:val="0"/>
      <w:em w:val="none"/>
      <w:lang w:val="es-ES" w:eastAsia="ar-SA"/>
    </w:rPr>
  </w:style>
  <w:style w:type="numbering" w:customStyle="1" w:styleId="Sinlista1">
    <w:name w:val="Sin lista1"/>
    <w:next w:val="Sinlista"/>
    <w:qFormat/>
  </w:style>
  <w:style w:type="table" w:customStyle="1" w:styleId="NormalTable0">
    <w:name w:val="Normal Table0"/>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character" w:customStyle="1" w:styleId="TtuloCar">
    <w:name w:val="Título Car"/>
    <w:rPr>
      <w:rFonts w:ascii="Calibri" w:eastAsia="Calibri" w:hAnsi="Calibri" w:cs="Calibri"/>
      <w:b/>
      <w:w w:val="100"/>
      <w:position w:val="-1"/>
      <w:sz w:val="72"/>
      <w:szCs w:val="72"/>
      <w:effect w:val="none"/>
      <w:vertAlign w:val="baseline"/>
      <w:cs w:val="0"/>
      <w:em w:val="none"/>
      <w:lang w:eastAsia="ja-JP"/>
    </w:rPr>
  </w:style>
  <w:style w:type="character" w:styleId="Refdecomentario">
    <w:name w:val="annotation reference"/>
    <w:qFormat/>
    <w:rPr>
      <w:w w:val="100"/>
      <w:position w:val="-1"/>
      <w:sz w:val="16"/>
      <w:szCs w:val="16"/>
      <w:effect w:val="none"/>
      <w:vertAlign w:val="baseline"/>
      <w:cs w:val="0"/>
      <w:em w:val="none"/>
    </w:rPr>
  </w:style>
  <w:style w:type="table" w:customStyle="1" w:styleId="TableNormal00">
    <w:name w:val="Table Normal0"/>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table" w:customStyle="1" w:styleId="TableNormal10">
    <w:name w:val="Table Normal1"/>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character" w:customStyle="1" w:styleId="SubttuloCar">
    <w:name w:val="Subtítulo Car"/>
    <w:rPr>
      <w:rFonts w:ascii="Georgia" w:eastAsia="Georgia" w:hAnsi="Georgia" w:cs="Georgia"/>
      <w:i/>
      <w:color w:val="666666"/>
      <w:w w:val="100"/>
      <w:position w:val="-1"/>
      <w:sz w:val="48"/>
      <w:szCs w:val="48"/>
      <w:effect w:val="none"/>
      <w:vertAlign w:val="baseline"/>
      <w:cs w:val="0"/>
      <w:em w:val="none"/>
      <w:lang w:eastAsia="ja-JP"/>
    </w:rPr>
  </w:style>
  <w:style w:type="table" w:customStyle="1" w:styleId="40">
    <w:name w:val="4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0"/>
    <w:tblPr>
      <w:tblStyleRowBandSize w:val="1"/>
      <w:tblStyleColBandSize w:val="1"/>
      <w:tblCellMar>
        <w:left w:w="115" w:type="dxa"/>
        <w:right w:w="115" w:type="dxa"/>
      </w:tblCellMar>
    </w:tblPr>
  </w:style>
  <w:style w:type="table" w:customStyle="1" w:styleId="37">
    <w:name w:val="3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0"/>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NormalTable1">
    <w:name w:val="Normal Table1"/>
    <w:pPr>
      <w:suppressAutoHyphens/>
      <w:spacing w:line="1" w:lineRule="atLeast"/>
      <w:ind w:leftChars="-1" w:left="709" w:hangingChars="1" w:hanging="1"/>
      <w:jc w:val="both"/>
      <w:textDirection w:val="btLr"/>
      <w:textAlignment w:val="top"/>
      <w:outlineLvl w:val="0"/>
    </w:pPr>
    <w:rPr>
      <w:position w:val="-1"/>
      <w:lang w:val="es-ES" w:eastAsia="ja-JP"/>
    </w:rPr>
    <w:tblPr>
      <w:tblCellMar>
        <w:top w:w="0" w:type="dxa"/>
        <w:left w:w="0" w:type="dxa"/>
        <w:bottom w:w="0" w:type="dxa"/>
        <w:right w:w="0" w:type="dxa"/>
      </w:tblCellMar>
    </w:tblPr>
  </w:style>
  <w:style w:type="paragraph" w:styleId="Textocomentario">
    <w:name w:val="annotation text"/>
    <w:basedOn w:val="Normal"/>
    <w:qFormat/>
    <w:pPr>
      <w:suppressAutoHyphens/>
      <w:spacing w:line="1" w:lineRule="atLeast"/>
      <w:ind w:leftChars="-1" w:left="709" w:hangingChars="1" w:hanging="1"/>
      <w:jc w:val="both"/>
      <w:textDirection w:val="btLr"/>
      <w:textAlignment w:val="top"/>
      <w:outlineLvl w:val="0"/>
    </w:pPr>
    <w:rPr>
      <w:position w:val="-1"/>
      <w:sz w:val="20"/>
      <w:szCs w:val="20"/>
      <w:lang w:val="es-MX" w:eastAsia="ja-JP"/>
    </w:rPr>
  </w:style>
  <w:style w:type="character" w:customStyle="1" w:styleId="TextocomentarioCar">
    <w:name w:val="Texto comentario Car"/>
    <w:rPr>
      <w:rFonts w:ascii="Calibri" w:eastAsia="Calibri" w:hAnsi="Calibri" w:cs="Calibri"/>
      <w:w w:val="100"/>
      <w:position w:val="-1"/>
      <w:sz w:val="20"/>
      <w:szCs w:val="20"/>
      <w:effect w:val="none"/>
      <w:vertAlign w:val="baseline"/>
      <w:cs w:val="0"/>
      <w:em w:val="none"/>
      <w:lang w:eastAsia="ja-JP"/>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Calibri" w:eastAsia="Calibri" w:hAnsi="Calibri" w:cs="Calibri"/>
      <w:b/>
      <w:bCs/>
      <w:w w:val="100"/>
      <w:position w:val="-1"/>
      <w:sz w:val="20"/>
      <w:szCs w:val="20"/>
      <w:effect w:val="none"/>
      <w:vertAlign w:val="baseline"/>
      <w:cs w:val="0"/>
      <w:em w:val="none"/>
      <w:lang w:eastAsia="ja-JP"/>
    </w:rPr>
  </w:style>
  <w:style w:type="paragraph" w:customStyle="1" w:styleId="Prrafodelista1">
    <w:name w:val="Párrafo de lista1"/>
    <w:aliases w:val="lp1,List Paragraph11,Bullet List,FooterText,numbered,Paragraphe de liste1,Bulletr List Paragraph,列出段落,列出段落1,Lista vistosa - Énfasis 11,Scitum normal,Listas,Colorful List - Accent 11,List Paragraph1,No Spacing1,Dot pt,b1,D"/>
    <w:basedOn w:val="Normal"/>
    <w:pPr>
      <w:suppressAutoHyphens/>
      <w:spacing w:line="1" w:lineRule="atLeast"/>
      <w:ind w:leftChars="-1" w:left="720" w:hangingChars="1" w:hanging="1"/>
      <w:contextualSpacing/>
      <w:jc w:val="both"/>
      <w:textDirection w:val="btLr"/>
      <w:textAlignment w:val="top"/>
      <w:outlineLvl w:val="0"/>
    </w:pPr>
    <w:rPr>
      <w:position w:val="-1"/>
      <w:lang w:val="es-MX" w:eastAsia="ja-JP"/>
    </w:rPr>
  </w:style>
  <w:style w:type="paragraph" w:styleId="Textodeglobo">
    <w:name w:val="Balloon Text"/>
    <w:basedOn w:val="Normal"/>
    <w:qFormat/>
    <w:pPr>
      <w:suppressAutoHyphens/>
      <w:spacing w:line="1" w:lineRule="atLeast"/>
      <w:ind w:leftChars="-1" w:left="709" w:hangingChars="1" w:hanging="1"/>
      <w:jc w:val="both"/>
      <w:textDirection w:val="btLr"/>
      <w:textAlignment w:val="top"/>
      <w:outlineLvl w:val="0"/>
    </w:pPr>
    <w:rPr>
      <w:rFonts w:ascii="Segoe UI" w:hAnsi="Segoe UI" w:cs="Segoe UI"/>
      <w:position w:val="-1"/>
      <w:sz w:val="18"/>
      <w:szCs w:val="18"/>
      <w:lang w:val="es-MX" w:eastAsia="ja-JP"/>
    </w:rPr>
  </w:style>
  <w:style w:type="character" w:customStyle="1" w:styleId="TextodegloboCar">
    <w:name w:val="Texto de globo Car"/>
    <w:rPr>
      <w:rFonts w:ascii="Segoe UI" w:eastAsia="Calibri" w:hAnsi="Segoe UI" w:cs="Segoe UI"/>
      <w:w w:val="100"/>
      <w:position w:val="-1"/>
      <w:sz w:val="18"/>
      <w:szCs w:val="18"/>
      <w:effect w:val="none"/>
      <w:vertAlign w:val="baseline"/>
      <w:cs w:val="0"/>
      <w:em w:val="none"/>
      <w:lang w:eastAsia="ja-JP"/>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rPr>
      <w:rFonts w:ascii="Calibri" w:eastAsia="Calibri" w:hAnsi="Calibri" w:cs="Calibri"/>
      <w:w w:val="100"/>
      <w:position w:val="-1"/>
      <w:effect w:val="none"/>
      <w:vertAlign w:val="baseline"/>
      <w:cs w:val="0"/>
      <w:em w:val="none"/>
      <w:lang w:eastAsia="ja-JP"/>
    </w:rPr>
  </w:style>
  <w:style w:type="paragraph" w:customStyle="1" w:styleId="TtuloTDC1">
    <w:name w:val="Título TDC1"/>
    <w:next w:val="Normal"/>
    <w:qFormat/>
    <w:pPr>
      <w:spacing w:before="240" w:line="259" w:lineRule="auto"/>
    </w:pPr>
    <w:rPr>
      <w:rFonts w:eastAsia="MS Gothic" w:cs="Times New Roman"/>
      <w:color w:val="365F91"/>
      <w:sz w:val="32"/>
      <w:szCs w:val="32"/>
    </w:rPr>
  </w:style>
  <w:style w:type="paragraph" w:styleId="TDC1">
    <w:name w:val="toc 1"/>
    <w:basedOn w:val="Normal"/>
    <w:next w:val="Normal"/>
    <w:qFormat/>
    <w:pPr>
      <w:suppressAutoHyphens/>
      <w:spacing w:after="100" w:line="1" w:lineRule="atLeast"/>
      <w:ind w:leftChars="-1" w:left="709" w:hangingChars="1" w:hanging="1"/>
      <w:jc w:val="both"/>
      <w:textDirection w:val="btLr"/>
      <w:textAlignment w:val="top"/>
      <w:outlineLvl w:val="0"/>
    </w:pPr>
    <w:rPr>
      <w:position w:val="-1"/>
      <w:lang w:val="es-MX" w:eastAsia="ja-JP"/>
    </w:rPr>
  </w:style>
  <w:style w:type="paragraph" w:styleId="TDC2">
    <w:name w:val="toc 2"/>
    <w:basedOn w:val="Normal"/>
    <w:next w:val="Normal"/>
    <w:qFormat/>
    <w:pPr>
      <w:suppressAutoHyphens/>
      <w:spacing w:after="100" w:line="1" w:lineRule="atLeast"/>
      <w:ind w:leftChars="-1" w:left="240" w:hangingChars="1" w:hanging="1"/>
      <w:jc w:val="both"/>
      <w:textDirection w:val="btLr"/>
      <w:textAlignment w:val="top"/>
      <w:outlineLvl w:val="0"/>
    </w:pPr>
    <w:rPr>
      <w:position w:val="-1"/>
      <w:lang w:val="es-MX" w:eastAsia="ja-JP"/>
    </w:rPr>
  </w:style>
  <w:style w:type="paragraph" w:styleId="TDC3">
    <w:name w:val="toc 3"/>
    <w:basedOn w:val="Normal"/>
    <w:next w:val="Normal"/>
    <w:qFormat/>
    <w:pPr>
      <w:suppressAutoHyphens/>
      <w:spacing w:after="100" w:line="1" w:lineRule="atLeast"/>
      <w:ind w:leftChars="-1" w:left="480" w:hangingChars="1" w:hanging="1"/>
      <w:jc w:val="both"/>
      <w:textDirection w:val="btLr"/>
      <w:textAlignment w:val="top"/>
      <w:outlineLvl w:val="0"/>
    </w:pPr>
    <w:rPr>
      <w:position w:val="-1"/>
      <w:lang w:val="es-MX" w:eastAsia="ja-JP"/>
    </w:rPr>
  </w:style>
  <w:style w:type="character" w:customStyle="1" w:styleId="Hipervnculo151">
    <w:name w:val="Hipervínculo151"/>
    <w:qFormat/>
    <w:rPr>
      <w:color w:val="0000FF"/>
      <w:w w:val="100"/>
      <w:position w:val="-1"/>
      <w:u w:val="single"/>
      <w:effect w:val="none"/>
      <w:vertAlign w:val="baseline"/>
      <w:cs w:val="0"/>
      <w:em w:val="none"/>
    </w:rPr>
  </w:style>
  <w:style w:type="table" w:customStyle="1" w:styleId="Tablaconcuadrcula1">
    <w:name w:val="Tabla con cuadrícula1"/>
    <w:basedOn w:val="Tablanormal"/>
    <w:next w:val="Tablaconcuadrcula"/>
    <w:pPr>
      <w:suppressAutoHyphens/>
      <w:spacing w:line="1" w:lineRule="atLeast"/>
      <w:ind w:leftChars="-1" w:left="709" w:hangingChars="1" w:hanging="1"/>
      <w:jc w:val="both"/>
      <w:textDirection w:val="btLr"/>
      <w:textAlignment w:val="top"/>
      <w:outlineLvl w:val="0"/>
    </w:pPr>
    <w:rPr>
      <w:rFonts w:cs="Times New Roman"/>
      <w:position w:val="-1"/>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pPr>
      <w:suppressAutoHyphens/>
      <w:spacing w:line="1" w:lineRule="atLeast"/>
      <w:ind w:leftChars="-1" w:left="709" w:hangingChars="1" w:hanging="1"/>
      <w:jc w:val="both"/>
      <w:textDirection w:val="btLr"/>
      <w:textAlignment w:val="top"/>
      <w:outlineLvl w:val="0"/>
    </w:pPr>
    <w:rPr>
      <w:position w:val="-1"/>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style>
  <w:style w:type="paragraph" w:customStyle="1" w:styleId="paragraph">
    <w:name w:val="paragraph"/>
    <w:basedOn w:val="Normal"/>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character" w:customStyle="1" w:styleId="normaltextrun">
    <w:name w:val="normaltextrun"/>
    <w:basedOn w:val="Fuentedeprrafopredeter"/>
    <w:rPr>
      <w:w w:val="100"/>
      <w:position w:val="-1"/>
      <w:effect w:val="none"/>
      <w:vertAlign w:val="baseline"/>
      <w:cs w:val="0"/>
      <w:em w:val="none"/>
    </w:rPr>
  </w:style>
  <w:style w:type="table" w:customStyle="1" w:styleId="41">
    <w:name w:val="4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paragraph" w:styleId="NormalWeb">
    <w:name w:val="Normal (Web)"/>
    <w:basedOn w:val="Normal"/>
    <w:uiPriority w:val="99"/>
    <w:qFormat/>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paragraph" w:customStyle="1" w:styleId="Titulo1">
    <w:name w:val="Titulo 1"/>
    <w:basedOn w:val="Normal"/>
    <w:pPr>
      <w:suppressAutoHyphens/>
      <w:spacing w:after="200" w:line="276" w:lineRule="auto"/>
      <w:ind w:leftChars="-1" w:left="-1" w:hangingChars="1" w:hanging="1"/>
      <w:textDirection w:val="btLr"/>
      <w:textAlignment w:val="top"/>
      <w:outlineLvl w:val="0"/>
    </w:pPr>
    <w:rPr>
      <w:rFonts w:ascii="Montserrat" w:eastAsia="Montserrat" w:hAnsi="Montserrat" w:cs="Montserrat"/>
      <w:b/>
      <w:color w:val="000000"/>
      <w:position w:val="-1"/>
      <w:sz w:val="22"/>
      <w:szCs w:val="22"/>
      <w:lang w:val="es-MX"/>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ES"/>
    </w:rPr>
  </w:style>
  <w:style w:type="paragraph" w:customStyle="1" w:styleId="ROMANOS">
    <w:name w:val="ROMANOS"/>
    <w:basedOn w:val="Normal"/>
    <w:pPr>
      <w:autoSpaceDE w:val="0"/>
      <w:spacing w:after="101" w:line="216" w:lineRule="atLeast"/>
      <w:ind w:leftChars="-1" w:left="720" w:hangingChars="1" w:hanging="432"/>
      <w:jc w:val="both"/>
      <w:textDirection w:val="btLr"/>
      <w:textAlignment w:val="top"/>
      <w:outlineLvl w:val="0"/>
    </w:pPr>
    <w:rPr>
      <w:rFonts w:ascii="Arial" w:eastAsia="Times New Roman" w:hAnsi="Arial" w:cs="Times New Roman"/>
      <w:position w:val="-1"/>
      <w:sz w:val="18"/>
      <w:szCs w:val="20"/>
      <w:lang w:val="es-MX" w:eastAsia="ar-SA"/>
    </w:rPr>
  </w:style>
  <w:style w:type="character" w:customStyle="1" w:styleId="ROMANOSCar">
    <w:name w:val="ROMANOS Car"/>
    <w:rPr>
      <w:rFonts w:ascii="Arial" w:eastAsia="Times New Roman" w:hAnsi="Arial" w:cs="Times New Roman"/>
      <w:w w:val="100"/>
      <w:position w:val="-1"/>
      <w:sz w:val="18"/>
      <w:szCs w:val="20"/>
      <w:effect w:val="none"/>
      <w:vertAlign w:val="baseline"/>
      <w:cs w:val="0"/>
      <w:em w:val="none"/>
      <w:lang w:eastAsia="ar-SA"/>
    </w:rPr>
  </w:style>
  <w:style w:type="character" w:styleId="Textoennegrita">
    <w:name w:val="Strong"/>
    <w:rPr>
      <w:b/>
      <w:bCs/>
      <w:w w:val="100"/>
      <w:position w:val="-1"/>
      <w:effect w:val="none"/>
      <w:vertAlign w:val="baseline"/>
      <w:cs w:val="0"/>
      <w:em w:val="none"/>
    </w:rPr>
  </w:style>
  <w:style w:type="character" w:customStyle="1" w:styleId="eop">
    <w:name w:val="eop"/>
    <w:basedOn w:val="Fuentedeprrafopredeter"/>
    <w:rPr>
      <w:w w:val="100"/>
      <w:position w:val="-1"/>
      <w:effect w:val="none"/>
      <w:vertAlign w:val="baseline"/>
      <w:cs w:val="0"/>
      <w:em w:val="none"/>
    </w:rPr>
  </w:style>
  <w:style w:type="character" w:customStyle="1" w:styleId="scxw238801174">
    <w:name w:val="scxw238801174"/>
    <w:basedOn w:val="Fuentedeprrafopredeter"/>
    <w:rPr>
      <w:w w:val="100"/>
      <w:position w:val="-1"/>
      <w:effect w:val="none"/>
      <w:vertAlign w:val="baseline"/>
      <w:cs w:val="0"/>
      <w:em w:val="none"/>
    </w:rPr>
  </w:style>
  <w:style w:type="paragraph" w:customStyle="1" w:styleId="texto">
    <w:name w:val="texto"/>
    <w:basedOn w:val="Normal"/>
    <w:pPr>
      <w:suppressAutoHyphens/>
      <w:spacing w:after="101" w:line="216" w:lineRule="atLeast"/>
      <w:ind w:leftChars="-1" w:left="-1" w:hangingChars="1" w:hanging="1"/>
      <w:jc w:val="both"/>
      <w:textDirection w:val="btLr"/>
      <w:textAlignment w:val="top"/>
      <w:outlineLvl w:val="0"/>
    </w:pPr>
    <w:rPr>
      <w:rFonts w:ascii="Arial" w:eastAsia="Times New Roman" w:hAnsi="Arial" w:cs="Arial"/>
      <w:position w:val="-1"/>
      <w:sz w:val="18"/>
      <w:szCs w:val="18"/>
      <w:lang w:val="es-MX" w:eastAsia="zh-CN"/>
    </w:rPr>
  </w:style>
  <w:style w:type="paragraph" w:customStyle="1" w:styleId="CarCar3CarCarCarCar">
    <w:name w:val="Car Car3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character" w:styleId="Nmerodepgina">
    <w:name w:val="page number"/>
    <w:basedOn w:val="Fuentedeprrafopredeter"/>
    <w:rPr>
      <w:w w:val="100"/>
      <w:position w:val="-1"/>
      <w:effect w:val="none"/>
      <w:vertAlign w:val="baseline"/>
      <w:cs w:val="0"/>
      <w:em w:val="none"/>
    </w:rPr>
  </w:style>
  <w:style w:type="paragraph" w:styleId="Textoindependiente">
    <w:name w:val="Body Text"/>
    <w:basedOn w:val="Normal"/>
    <w:pPr>
      <w:spacing w:line="1" w:lineRule="atLeast"/>
      <w:ind w:leftChars="-1" w:left="-1" w:right="99" w:hangingChars="1" w:hanging="1"/>
      <w:jc w:val="both"/>
      <w:textDirection w:val="btLr"/>
      <w:textAlignment w:val="top"/>
      <w:outlineLvl w:val="0"/>
    </w:pPr>
    <w:rPr>
      <w:rFonts w:ascii="Arial" w:eastAsia="Times New Roman" w:hAnsi="Arial" w:cs="Times New Roman"/>
      <w:position w:val="-1"/>
      <w:sz w:val="20"/>
      <w:szCs w:val="20"/>
      <w:lang w:val="es-MX" w:eastAsia="ar-SA"/>
    </w:rPr>
  </w:style>
  <w:style w:type="character" w:customStyle="1" w:styleId="TextoindependienteCar">
    <w:name w:val="Texto independiente Car"/>
    <w:rPr>
      <w:rFonts w:ascii="Arial" w:eastAsia="Times New Roman" w:hAnsi="Arial" w:cs="Times New Roman"/>
      <w:w w:val="100"/>
      <w:position w:val="-1"/>
      <w:sz w:val="20"/>
      <w:szCs w:val="20"/>
      <w:effect w:val="none"/>
      <w:vertAlign w:val="baseline"/>
      <w:cs w:val="0"/>
      <w:em w:val="none"/>
      <w:lang w:eastAsia="ar-SA"/>
    </w:rPr>
  </w:style>
  <w:style w:type="paragraph" w:styleId="Textoindependiente2">
    <w:name w:val="Body Text 2"/>
    <w:basedOn w:val="Normal"/>
    <w:pPr>
      <w:spacing w:line="1" w:lineRule="atLeast"/>
      <w:ind w:leftChars="-1" w:left="-1" w:right="99" w:hangingChars="1" w:hanging="1"/>
      <w:jc w:val="both"/>
      <w:textDirection w:val="btLr"/>
      <w:textAlignment w:val="top"/>
      <w:outlineLvl w:val="0"/>
    </w:pPr>
    <w:rPr>
      <w:rFonts w:ascii="Arial" w:eastAsia="Times New Roman" w:hAnsi="Arial" w:cs="Times New Roman"/>
      <w:position w:val="-1"/>
      <w:sz w:val="16"/>
      <w:szCs w:val="20"/>
      <w:lang w:val="es-MX" w:eastAsia="ar-SA"/>
    </w:rPr>
  </w:style>
  <w:style w:type="character" w:customStyle="1" w:styleId="Textoindependiente2Car">
    <w:name w:val="Texto independiente 2 Car"/>
    <w:rPr>
      <w:rFonts w:ascii="Arial" w:eastAsia="Times New Roman" w:hAnsi="Arial" w:cs="Times New Roman"/>
      <w:w w:val="100"/>
      <w:position w:val="-1"/>
      <w:sz w:val="16"/>
      <w:szCs w:val="20"/>
      <w:effect w:val="none"/>
      <w:vertAlign w:val="baseline"/>
      <w:cs w:val="0"/>
      <w:em w:val="none"/>
      <w:lang w:eastAsia="ar-SA"/>
    </w:rPr>
  </w:style>
  <w:style w:type="paragraph" w:styleId="Textoindependiente3">
    <w:name w:val="Body Text 3"/>
    <w:basedOn w:val="Normal"/>
    <w:pPr>
      <w:spacing w:line="1" w:lineRule="atLeast"/>
      <w:ind w:leftChars="-1" w:left="-1" w:right="99" w:hangingChars="1" w:hanging="1"/>
      <w:jc w:val="both"/>
      <w:textDirection w:val="btLr"/>
      <w:textAlignment w:val="top"/>
      <w:outlineLvl w:val="0"/>
    </w:pPr>
    <w:rPr>
      <w:rFonts w:ascii="Arial" w:eastAsia="Times New Roman" w:hAnsi="Arial" w:cs="Times New Roman"/>
      <w:b/>
      <w:bCs/>
      <w:position w:val="-1"/>
      <w:szCs w:val="20"/>
      <w:lang w:val="es-ES" w:eastAsia="ar-SA"/>
    </w:rPr>
  </w:style>
  <w:style w:type="character" w:customStyle="1" w:styleId="Textoindependiente3Car">
    <w:name w:val="Texto independiente 3 Car"/>
    <w:rPr>
      <w:rFonts w:ascii="Arial" w:eastAsia="Times New Roman" w:hAnsi="Arial" w:cs="Times New Roman"/>
      <w:b/>
      <w:bCs/>
      <w:w w:val="100"/>
      <w:position w:val="-1"/>
      <w:szCs w:val="20"/>
      <w:effect w:val="none"/>
      <w:vertAlign w:val="baseline"/>
      <w:cs w:val="0"/>
      <w:em w:val="none"/>
      <w:lang w:val="es-ES" w:eastAsia="ar-SA"/>
    </w:rPr>
  </w:style>
  <w:style w:type="paragraph" w:customStyle="1" w:styleId="xl28">
    <w:name w:val="xl28"/>
    <w:basedOn w:val="Normal"/>
    <w:pPr>
      <w:spacing w:before="100" w:beforeAutospacing="1" w:after="100" w:afterAutospacing="1" w:line="1" w:lineRule="atLeast"/>
      <w:ind w:leftChars="-1" w:left="-1" w:hangingChars="1" w:hanging="1"/>
      <w:jc w:val="center"/>
      <w:textDirection w:val="btLr"/>
      <w:textAlignment w:val="top"/>
      <w:outlineLvl w:val="0"/>
    </w:pPr>
    <w:rPr>
      <w:rFonts w:ascii="Arial Unicode MS" w:eastAsia="Arial Unicode MS" w:hAnsi="Arial Unicode MS" w:cs="Arial Unicode MS"/>
      <w:position w:val="-1"/>
      <w:sz w:val="16"/>
      <w:szCs w:val="16"/>
      <w:lang w:val="es-ES" w:eastAsia="ar-SA"/>
    </w:rPr>
  </w:style>
  <w:style w:type="paragraph" w:customStyle="1" w:styleId="xl29">
    <w:name w:val="xl29"/>
    <w:basedOn w:val="Normal"/>
    <w:pPr>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sz w:val="16"/>
      <w:szCs w:val="16"/>
      <w:lang w:val="es-ES" w:eastAsia="ar-SA"/>
    </w:rPr>
  </w:style>
  <w:style w:type="character" w:customStyle="1" w:styleId="SinespaciadoCar">
    <w:name w:val="Sin espaciado Car"/>
    <w:rPr>
      <w:w w:val="100"/>
      <w:position w:val="-1"/>
      <w:sz w:val="22"/>
      <w:szCs w:val="22"/>
      <w:effect w:val="none"/>
      <w:vertAlign w:val="baseline"/>
      <w:cs w:val="0"/>
      <w:em w:val="none"/>
    </w:rPr>
  </w:style>
  <w:style w:type="character" w:customStyle="1" w:styleId="WW8Num18z2">
    <w:name w:val="WW8Num18z2"/>
    <w:rPr>
      <w:rFonts w:ascii="Wingdings" w:hAnsi="Wingdings"/>
      <w:w w:val="100"/>
      <w:position w:val="-1"/>
      <w:effect w:val="none"/>
      <w:vertAlign w:val="baseline"/>
      <w:cs w:val="0"/>
      <w:em w:val="none"/>
    </w:rPr>
  </w:style>
  <w:style w:type="paragraph" w:customStyle="1" w:styleId="Textonormal">
    <w:name w:val="Texto normal"/>
    <w:basedOn w:val="Normal"/>
    <w:pPr>
      <w:spacing w:after="120" w:line="1" w:lineRule="atLeast"/>
      <w:ind w:leftChars="-1" w:left="-1" w:hangingChars="1" w:hanging="1"/>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Lista21">
    <w:name w:val="Lista 21"/>
    <w:basedOn w:val="Textonormal"/>
  </w:style>
  <w:style w:type="paragraph" w:customStyle="1" w:styleId="Encabezado10">
    <w:name w:val="Encabezado1"/>
    <w:basedOn w:val="Normal"/>
    <w:next w:val="Textonormal"/>
    <w:pPr>
      <w:keepNext/>
      <w:spacing w:before="240" w:after="120" w:line="1" w:lineRule="atLeast"/>
      <w:ind w:leftChars="-1" w:left="-1" w:hangingChars="1" w:hanging="1"/>
      <w:textDirection w:val="btLr"/>
      <w:textAlignment w:val="top"/>
      <w:outlineLvl w:val="0"/>
    </w:pPr>
    <w:rPr>
      <w:rFonts w:ascii="Arial" w:eastAsia="Times New Roman" w:hAnsi="Arial" w:cs="Arial"/>
      <w:position w:val="-1"/>
      <w:sz w:val="28"/>
      <w:szCs w:val="20"/>
      <w:lang w:val="es-ES" w:eastAsia="ar-SA"/>
    </w:rPr>
  </w:style>
  <w:style w:type="paragraph" w:customStyle="1" w:styleId="Sangra3detindependiente1">
    <w:name w:val="Sangría 3 de t. independiente1"/>
    <w:basedOn w:val="Normal"/>
    <w:pPr>
      <w:autoSpaceDE w:val="0"/>
      <w:spacing w:line="1" w:lineRule="atLeast"/>
      <w:ind w:leftChars="-1" w:left="284" w:hangingChars="1" w:hanging="284"/>
      <w:jc w:val="both"/>
      <w:textDirection w:val="btLr"/>
      <w:textAlignment w:val="top"/>
      <w:outlineLvl w:val="0"/>
    </w:pPr>
    <w:rPr>
      <w:rFonts w:ascii="Arial" w:eastAsia="Times New Roman" w:hAnsi="Arial" w:cs="Arial"/>
      <w:position w:val="-1"/>
      <w:sz w:val="20"/>
      <w:szCs w:val="20"/>
      <w:lang w:val="es-MX" w:eastAsia="ar-SA"/>
    </w:rPr>
  </w:style>
  <w:style w:type="paragraph" w:styleId="Sangradetextonormal">
    <w:name w:val="Body Text Indent"/>
    <w:basedOn w:val="Normal"/>
    <w:pPr>
      <w:spacing w:after="120" w:line="1" w:lineRule="atLeast"/>
      <w:ind w:leftChars="-1" w:left="283" w:hangingChars="1" w:hanging="1"/>
      <w:textDirection w:val="btLr"/>
      <w:textAlignment w:val="top"/>
      <w:outlineLvl w:val="0"/>
    </w:pPr>
    <w:rPr>
      <w:rFonts w:ascii="Times New Roman" w:eastAsia="Times New Roman" w:hAnsi="Times New Roman" w:cs="Times New Roman"/>
      <w:position w:val="-1"/>
      <w:szCs w:val="20"/>
      <w:lang w:val="es-ES" w:eastAsia="ar-SA"/>
    </w:rPr>
  </w:style>
  <w:style w:type="character" w:customStyle="1" w:styleId="SangradetextonormalCar">
    <w:name w:val="Sangría de texto normal Car"/>
    <w:rPr>
      <w:rFonts w:ascii="Times New Roman" w:eastAsia="Times New Roman" w:hAnsi="Times New Roman" w:cs="Times New Roman"/>
      <w:w w:val="100"/>
      <w:position w:val="-1"/>
      <w:szCs w:val="20"/>
      <w:effect w:val="none"/>
      <w:vertAlign w:val="baseline"/>
      <w:cs w:val="0"/>
      <w:em w:val="none"/>
      <w:lang w:val="es-ES" w:eastAsia="ar-SA"/>
    </w:rPr>
  </w:style>
  <w:style w:type="paragraph" w:customStyle="1" w:styleId="Sangra2detindependiente1">
    <w:name w:val="Sangría 2 de t. independiente1"/>
    <w:basedOn w:val="Normal"/>
    <w:pPr>
      <w:overflowPunct w:val="0"/>
      <w:autoSpaceDE w:val="0"/>
      <w:spacing w:before="100" w:line="1" w:lineRule="atLeast"/>
      <w:ind w:leftChars="-1" w:left="1985" w:hangingChars="1" w:hanging="1"/>
      <w:jc w:val="both"/>
      <w:textDirection w:val="btLr"/>
      <w:textAlignment w:val="baseline"/>
      <w:outlineLvl w:val="0"/>
    </w:pPr>
    <w:rPr>
      <w:rFonts w:ascii="Arial" w:eastAsia="Times New Roman" w:hAnsi="Arial" w:cs="Times New Roman"/>
      <w:position w:val="-1"/>
      <w:sz w:val="22"/>
      <w:szCs w:val="20"/>
      <w:lang w:val="es-ES" w:eastAsia="ar-SA"/>
    </w:rPr>
  </w:style>
  <w:style w:type="paragraph" w:customStyle="1" w:styleId="TextoCar">
    <w:name w:val="Texto Car"/>
    <w:basedOn w:val="Normal"/>
    <w:pPr>
      <w:spacing w:after="101" w:line="216" w:lineRule="atLeast"/>
      <w:ind w:leftChars="-1" w:left="-1" w:hangingChars="1" w:hanging="1"/>
      <w:jc w:val="both"/>
      <w:textDirection w:val="btLr"/>
      <w:textAlignment w:val="top"/>
      <w:outlineLvl w:val="0"/>
    </w:pPr>
    <w:rPr>
      <w:rFonts w:ascii="Arial" w:eastAsia="Times New Roman" w:hAnsi="Arial" w:cs="Times New Roman"/>
      <w:position w:val="-1"/>
      <w:sz w:val="18"/>
      <w:szCs w:val="20"/>
      <w:lang w:val="es-MX" w:eastAsia="ar-SA"/>
    </w:rPr>
  </w:style>
  <w:style w:type="paragraph" w:customStyle="1" w:styleId="Textoindependiente21">
    <w:name w:val="Texto independiente 21"/>
    <w:aliases w:val="Sangría de t. independiente"/>
    <w:basedOn w:val="Normal"/>
    <w:pPr>
      <w:widowControl w:val="0"/>
      <w:overflowPunct w:val="0"/>
      <w:autoSpaceDE w:val="0"/>
      <w:spacing w:line="1" w:lineRule="atLeast"/>
      <w:ind w:leftChars="-1" w:left="-1" w:hangingChars="1" w:hanging="1"/>
      <w:jc w:val="both"/>
      <w:textDirection w:val="btLr"/>
      <w:textAlignment w:val="baseline"/>
      <w:outlineLvl w:val="0"/>
    </w:pPr>
    <w:rPr>
      <w:rFonts w:ascii="Arial" w:eastAsia="Times New Roman" w:hAnsi="Arial" w:cs="Times New Roman"/>
      <w:position w:val="-1"/>
      <w:sz w:val="20"/>
      <w:szCs w:val="20"/>
      <w:lang w:val="es-ES" w:eastAsia="ar-SA"/>
    </w:rPr>
  </w:style>
  <w:style w:type="paragraph" w:customStyle="1" w:styleId="Textoindependiente31">
    <w:name w:val="Texto independiente 31"/>
    <w:basedOn w:val="Normal"/>
    <w:pPr>
      <w:overflowPunct w:val="0"/>
      <w:autoSpaceDE w:val="0"/>
      <w:spacing w:line="1" w:lineRule="atLeast"/>
      <w:ind w:leftChars="-1" w:left="-1" w:hangingChars="1" w:hanging="1"/>
      <w:jc w:val="both"/>
      <w:textDirection w:val="btLr"/>
      <w:textAlignment w:val="baseline"/>
      <w:outlineLvl w:val="0"/>
    </w:pPr>
    <w:rPr>
      <w:rFonts w:ascii="Times New Roman" w:eastAsia="Times New Roman" w:hAnsi="Times New Roman" w:cs="Times New Roman"/>
      <w:position w:val="-1"/>
      <w:szCs w:val="20"/>
      <w:lang w:val="es-ES" w:eastAsia="ar-SA"/>
    </w:rPr>
  </w:style>
  <w:style w:type="paragraph" w:customStyle="1" w:styleId="Texto0">
    <w:name w:val="Texto"/>
    <w:basedOn w:val="Normal"/>
    <w:pPr>
      <w:spacing w:after="101" w:line="216" w:lineRule="atLeast"/>
      <w:ind w:leftChars="-1" w:left="-1" w:hangingChars="1" w:hanging="1"/>
      <w:jc w:val="both"/>
      <w:textDirection w:val="btLr"/>
      <w:textAlignment w:val="top"/>
      <w:outlineLvl w:val="0"/>
    </w:pPr>
    <w:rPr>
      <w:rFonts w:ascii="Arial" w:eastAsia="Times New Roman" w:hAnsi="Arial" w:cs="Times New Roman"/>
      <w:position w:val="-1"/>
      <w:sz w:val="18"/>
      <w:szCs w:val="20"/>
      <w:lang w:val="es-MX" w:eastAsia="ar-SA"/>
    </w:rPr>
  </w:style>
  <w:style w:type="paragraph" w:styleId="Sangra3detindependiente">
    <w:name w:val="Body Text Indent 3"/>
    <w:basedOn w:val="Normal"/>
    <w:pPr>
      <w:spacing w:after="120" w:line="1" w:lineRule="atLeast"/>
      <w:ind w:leftChars="-1" w:left="283" w:hangingChars="1" w:hanging="1"/>
      <w:textDirection w:val="btLr"/>
      <w:textAlignment w:val="top"/>
      <w:outlineLvl w:val="0"/>
    </w:pPr>
    <w:rPr>
      <w:rFonts w:ascii="Times New Roman" w:eastAsia="Times New Roman" w:hAnsi="Times New Roman" w:cs="Times New Roman"/>
      <w:position w:val="-1"/>
      <w:sz w:val="16"/>
      <w:szCs w:val="16"/>
      <w:lang w:val="es-ES" w:eastAsia="ar-SA"/>
    </w:rPr>
  </w:style>
  <w:style w:type="character" w:customStyle="1" w:styleId="Sangra3detindependienteCar">
    <w:name w:val="Sangría 3 de t. independiente Car"/>
    <w:rPr>
      <w:rFonts w:ascii="Times New Roman" w:eastAsia="Times New Roman" w:hAnsi="Times New Roman" w:cs="Times New Roman"/>
      <w:w w:val="100"/>
      <w:position w:val="-1"/>
      <w:sz w:val="16"/>
      <w:szCs w:val="16"/>
      <w:effect w:val="none"/>
      <w:vertAlign w:val="baseline"/>
      <w:cs w:val="0"/>
      <w:em w:val="none"/>
      <w:lang w:val="es-ES" w:eastAsia="ar-SA"/>
    </w:rPr>
  </w:style>
  <w:style w:type="paragraph" w:customStyle="1" w:styleId="BodyText22">
    <w:name w:val="Body Text 22"/>
    <w:basedOn w:val="Normal"/>
    <w:pPr>
      <w:widowControl w:val="0"/>
      <w:suppressAutoHyphens/>
      <w:overflowPunct w:val="0"/>
      <w:autoSpaceDE w:val="0"/>
      <w:autoSpaceDN w:val="0"/>
      <w:adjustRightInd w:val="0"/>
      <w:spacing w:line="1" w:lineRule="atLeast"/>
      <w:ind w:leftChars="-1" w:left="-1" w:hangingChars="1" w:hanging="1"/>
      <w:jc w:val="both"/>
      <w:textDirection w:val="btLr"/>
      <w:textAlignment w:val="baseline"/>
      <w:outlineLvl w:val="0"/>
    </w:pPr>
    <w:rPr>
      <w:rFonts w:ascii="Arial" w:eastAsia="Times New Roman" w:hAnsi="Arial" w:cs="Times New Roman"/>
      <w:position w:val="-1"/>
      <w:sz w:val="20"/>
      <w:szCs w:val="20"/>
      <w:lang w:val="es-MX" w:eastAsia="es-ES"/>
    </w:rPr>
  </w:style>
  <w:style w:type="paragraph" w:customStyle="1" w:styleId="CharCharCarCarCharCharCarCarCharCharCarCarCharChar">
    <w:name w:val="Char Char Car Car Char Char Car Car Char Char Car Car Char Char"/>
    <w:basedOn w:val="Normal"/>
    <w:pPr>
      <w:suppressAutoHyphens/>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paragraph" w:customStyle="1" w:styleId="xl22">
    <w:name w:val="xl22"/>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w:eastAsia="Arial Unicode MS" w:hAnsi="Arial" w:cs="Arial"/>
      <w:position w:val="-1"/>
      <w:sz w:val="18"/>
      <w:szCs w:val="18"/>
      <w:lang w:val="es-ES" w:eastAsia="es-ES"/>
    </w:rPr>
  </w:style>
  <w:style w:type="paragraph" w:customStyle="1" w:styleId="xl23">
    <w:name w:val="xl23"/>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w:eastAsia="Arial Unicode MS" w:hAnsi="Arial" w:cs="Arial"/>
      <w:position w:val="-1"/>
      <w:sz w:val="18"/>
      <w:szCs w:val="18"/>
      <w:lang w:val="es-ES" w:eastAsia="es-ES"/>
    </w:rPr>
  </w:style>
  <w:style w:type="paragraph" w:customStyle="1" w:styleId="xl24">
    <w:name w:val="xl24"/>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w:eastAsia="Arial Unicode MS" w:hAnsi="Arial" w:cs="Arial"/>
      <w:position w:val="-1"/>
      <w:sz w:val="18"/>
      <w:szCs w:val="18"/>
      <w:lang w:val="es-ES" w:eastAsia="es-ES"/>
    </w:rPr>
  </w:style>
  <w:style w:type="paragraph" w:customStyle="1" w:styleId="xl25">
    <w:name w:val="xl25"/>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Arial Unicode MS" w:hAnsi="Arial" w:cs="Arial"/>
      <w:position w:val="-1"/>
      <w:sz w:val="16"/>
      <w:szCs w:val="16"/>
      <w:lang w:val="es-ES" w:eastAsia="es-ES"/>
    </w:rPr>
  </w:style>
  <w:style w:type="paragraph" w:customStyle="1" w:styleId="xl26">
    <w:name w:val="xl26"/>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rFonts w:ascii="Arial" w:eastAsia="Arial Unicode MS" w:hAnsi="Arial" w:cs="Arial"/>
      <w:position w:val="-1"/>
      <w:sz w:val="16"/>
      <w:szCs w:val="16"/>
      <w:lang w:val="es-ES" w:eastAsia="es-ES"/>
    </w:rPr>
  </w:style>
  <w:style w:type="paragraph" w:customStyle="1" w:styleId="xl27">
    <w:name w:val="xl27"/>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rFonts w:ascii="Arial" w:eastAsia="Arial Unicode MS" w:hAnsi="Arial" w:cs="Arial"/>
      <w:b/>
      <w:bCs/>
      <w:position w:val="-1"/>
      <w:sz w:val="16"/>
      <w:szCs w:val="16"/>
      <w:lang w:val="es-ES" w:eastAsia="es-ES"/>
    </w:rPr>
  </w:style>
  <w:style w:type="paragraph" w:customStyle="1" w:styleId="Car">
    <w:name w:val="Car"/>
    <w:basedOn w:val="Normal"/>
    <w:pPr>
      <w:suppressAutoHyphens/>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paragraph" w:styleId="Lista2">
    <w:name w:val="List 2"/>
    <w:basedOn w:val="Normal"/>
    <w:pPr>
      <w:spacing w:line="1" w:lineRule="atLeast"/>
      <w:ind w:leftChars="-1" w:left="566" w:hangingChars="1" w:hanging="283"/>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ANOTACION">
    <w:name w:val="ANOTACION"/>
    <w:basedOn w:val="Normal"/>
    <w:pPr>
      <w:autoSpaceDE w:val="0"/>
      <w:spacing w:after="101" w:line="216" w:lineRule="atLeast"/>
      <w:ind w:leftChars="-1" w:left="-1" w:hangingChars="1" w:hanging="1"/>
      <w:jc w:val="center"/>
      <w:textDirection w:val="btLr"/>
      <w:textAlignment w:val="top"/>
      <w:outlineLvl w:val="0"/>
    </w:pPr>
    <w:rPr>
      <w:rFonts w:ascii="Arial" w:eastAsia="Times New Roman" w:hAnsi="Arial" w:cs="Times New Roman"/>
      <w:b/>
      <w:position w:val="-1"/>
      <w:sz w:val="18"/>
      <w:szCs w:val="20"/>
      <w:lang w:val="es-MX" w:eastAsia="ar-SA"/>
    </w:rPr>
  </w:style>
  <w:style w:type="paragraph" w:customStyle="1" w:styleId="Encabezado3">
    <w:name w:val="Encabezado3"/>
    <w:basedOn w:val="Normal"/>
    <w:next w:val="Textoindependiente"/>
    <w:pPr>
      <w:keepNext/>
      <w:spacing w:before="240" w:after="120" w:line="1" w:lineRule="atLeast"/>
      <w:ind w:leftChars="-1" w:left="-1" w:hangingChars="1" w:hanging="1"/>
      <w:textDirection w:val="btLr"/>
      <w:textAlignment w:val="top"/>
      <w:outlineLvl w:val="0"/>
    </w:pPr>
    <w:rPr>
      <w:rFonts w:ascii="Arial" w:eastAsia="MS Mincho" w:hAnsi="Arial" w:cs="Tahoma"/>
      <w:position w:val="-1"/>
      <w:sz w:val="28"/>
      <w:szCs w:val="28"/>
      <w:lang w:val="es-ES" w:eastAsia="ar-SA"/>
    </w:rPr>
  </w:style>
  <w:style w:type="paragraph" w:styleId="Lista">
    <w:name w:val="List"/>
    <w:basedOn w:val="Textoindependiente"/>
    <w:pPr>
      <w:spacing w:after="120"/>
      <w:ind w:right="0"/>
      <w:jc w:val="left"/>
    </w:pPr>
    <w:rPr>
      <w:rFonts w:ascii="Times New Roman" w:hAnsi="Times New Roman" w:cs="Tahoma"/>
      <w:sz w:val="24"/>
      <w:lang w:val="es-ES"/>
    </w:rPr>
  </w:style>
  <w:style w:type="paragraph" w:customStyle="1" w:styleId="Etiqueta">
    <w:name w:val="Etiqueta"/>
    <w:basedOn w:val="Normal"/>
    <w:pPr>
      <w:suppressLineNumbers/>
      <w:spacing w:before="120" w:after="120" w:line="1" w:lineRule="atLeast"/>
      <w:ind w:leftChars="-1" w:left="-1" w:hangingChars="1" w:hanging="1"/>
      <w:textDirection w:val="btLr"/>
      <w:textAlignment w:val="top"/>
      <w:outlineLvl w:val="0"/>
    </w:pPr>
    <w:rPr>
      <w:rFonts w:ascii="Times New Roman" w:eastAsia="Times New Roman" w:hAnsi="Times New Roman" w:cs="Times New Roman"/>
      <w:i/>
      <w:position w:val="-1"/>
      <w:szCs w:val="20"/>
      <w:lang w:val="es-ES" w:eastAsia="ar-SA"/>
    </w:rPr>
  </w:style>
  <w:style w:type="paragraph" w:customStyle="1" w:styleId="ndice">
    <w:name w:val="Índice"/>
    <w:basedOn w:val="Normal"/>
    <w:pPr>
      <w:suppressLineNumbers/>
      <w:spacing w:line="1" w:lineRule="atLeast"/>
      <w:ind w:leftChars="-1" w:left="-1" w:hangingChars="1" w:hanging="1"/>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Encabezado2">
    <w:name w:val="Encabezado2"/>
    <w:basedOn w:val="Normal"/>
    <w:next w:val="Textonormal"/>
    <w:pPr>
      <w:keepNext/>
      <w:spacing w:before="240" w:after="120" w:line="1" w:lineRule="atLeast"/>
      <w:ind w:leftChars="-1" w:left="-1" w:hangingChars="1" w:hanging="1"/>
      <w:textDirection w:val="btLr"/>
      <w:textAlignment w:val="top"/>
      <w:outlineLvl w:val="0"/>
    </w:pPr>
    <w:rPr>
      <w:rFonts w:ascii="Arial" w:eastAsia="Times New Roman" w:hAnsi="Arial" w:cs="Arial"/>
      <w:position w:val="-1"/>
      <w:sz w:val="28"/>
      <w:szCs w:val="20"/>
      <w:lang w:val="es-ES" w:eastAsia="ar-SA"/>
    </w:rPr>
  </w:style>
  <w:style w:type="paragraph" w:customStyle="1" w:styleId="Textodeglobo1">
    <w:name w:val="Texto de globo1"/>
    <w:basedOn w:val="Normal"/>
    <w:pPr>
      <w:spacing w:line="1" w:lineRule="atLeast"/>
      <w:ind w:leftChars="-1" w:left="-1" w:hangingChars="1" w:hanging="1"/>
      <w:textDirection w:val="btLr"/>
      <w:textAlignment w:val="top"/>
      <w:outlineLvl w:val="0"/>
    </w:pPr>
    <w:rPr>
      <w:rFonts w:ascii="Tahoma" w:eastAsia="Times New Roman" w:hAnsi="Tahoma" w:cs="Tahoma"/>
      <w:position w:val="-1"/>
      <w:sz w:val="16"/>
      <w:szCs w:val="20"/>
      <w:lang w:val="es-ES" w:eastAsia="ar-SA"/>
    </w:rPr>
  </w:style>
  <w:style w:type="paragraph" w:customStyle="1" w:styleId="Contenidodelatabla">
    <w:name w:val="Contenido de la tabla"/>
    <w:basedOn w:val="Normal"/>
    <w:pPr>
      <w:suppressLineNumbers/>
      <w:spacing w:line="1" w:lineRule="atLeast"/>
      <w:ind w:leftChars="-1" w:left="-1" w:hangingChars="1" w:hanging="1"/>
      <w:textDirection w:val="btLr"/>
      <w:textAlignment w:val="top"/>
      <w:outlineLvl w:val="0"/>
    </w:pPr>
    <w:rPr>
      <w:rFonts w:ascii="Times New Roman" w:eastAsia="Times New Roman" w:hAnsi="Times New Roman" w:cs="Times New Roman"/>
      <w:position w:val="-1"/>
      <w:szCs w:val="20"/>
      <w:lang w:val="es-ES" w:eastAsia="ar-SA"/>
    </w:rPr>
  </w:style>
  <w:style w:type="paragraph" w:customStyle="1" w:styleId="Encabezadodelatabla">
    <w:name w:val="Encabezado de la tabla"/>
    <w:basedOn w:val="Contenidodelatabla"/>
    <w:pPr>
      <w:jc w:val="center"/>
    </w:pPr>
    <w:rPr>
      <w:b/>
    </w:rPr>
  </w:style>
  <w:style w:type="paragraph" w:customStyle="1" w:styleId="ACUERDO">
    <w:name w:val="ACUERDO"/>
    <w:basedOn w:val="Normal"/>
    <w:pPr>
      <w:widowControl w:val="0"/>
      <w:spacing w:line="1" w:lineRule="atLeast"/>
      <w:ind w:leftChars="-1" w:left="-1" w:hangingChars="1" w:hanging="1"/>
      <w:jc w:val="both"/>
      <w:textDirection w:val="btLr"/>
      <w:textAlignment w:val="top"/>
      <w:outlineLvl w:val="0"/>
    </w:pPr>
    <w:rPr>
      <w:rFonts w:ascii="Arial" w:eastAsia="Times New Roman" w:hAnsi="Arial" w:cs="Times New Roman"/>
      <w:b/>
      <w:position w:val="-1"/>
      <w:sz w:val="28"/>
      <w:szCs w:val="20"/>
      <w:lang w:val="en-US" w:eastAsia="ar-SA"/>
    </w:rPr>
  </w:style>
  <w:style w:type="paragraph" w:customStyle="1" w:styleId="xl30">
    <w:name w:val="xl30"/>
    <w:basedOn w:val="Normal"/>
    <w:pPr>
      <w:pBdr>
        <w:top w:val="single" w:sz="4" w:space="0" w:color="000000"/>
        <w:left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1">
    <w:name w:val="xl31"/>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2">
    <w:name w:val="xl32"/>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3">
    <w:name w:val="xl33"/>
    <w:basedOn w:val="Normal"/>
    <w:pPr>
      <w:pBdr>
        <w:top w:val="single" w:sz="4" w:space="0" w:color="000000"/>
        <w:lef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4">
    <w:name w:val="xl34"/>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5">
    <w:name w:val="xl35"/>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36">
    <w:name w:val="xl36"/>
    <w:basedOn w:val="Normal"/>
    <w:pPr>
      <w:pBdr>
        <w:lef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7">
    <w:name w:val="xl37"/>
    <w:basedOn w:val="Normal"/>
    <w:pPr>
      <w:pBdr>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38">
    <w:name w:val="xl38"/>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Unicode MS" w:eastAsia="Arial Unicode MS" w:hAnsi="Arial Unicode MS" w:cs="Arial Unicode MS"/>
      <w:b/>
      <w:bCs/>
      <w:position w:val="-1"/>
      <w:sz w:val="14"/>
      <w:szCs w:val="14"/>
      <w:lang w:val="es-ES" w:eastAsia="ar-SA"/>
    </w:rPr>
  </w:style>
  <w:style w:type="paragraph" w:customStyle="1" w:styleId="xl39">
    <w:name w:val="xl39"/>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Unicode MS" w:eastAsia="Arial Unicode MS" w:hAnsi="Arial Unicode MS" w:cs="Arial Unicode MS"/>
      <w:b/>
      <w:bCs/>
      <w:position w:val="-1"/>
      <w:sz w:val="14"/>
      <w:szCs w:val="14"/>
      <w:lang w:val="es-ES" w:eastAsia="ar-SA"/>
    </w:rPr>
  </w:style>
  <w:style w:type="paragraph" w:customStyle="1" w:styleId="xl40">
    <w:name w:val="xl40"/>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1">
    <w:name w:val="xl41"/>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2">
    <w:name w:val="xl42"/>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3">
    <w:name w:val="xl43"/>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4">
    <w:name w:val="xl44"/>
    <w:basedOn w:val="Normal"/>
    <w:pPr>
      <w:pBdr>
        <w:left w:val="single" w:sz="4" w:space="0" w:color="000000"/>
        <w:bottom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45">
    <w:name w:val="xl45"/>
    <w:basedOn w:val="Normal"/>
    <w:pPr>
      <w:pBdr>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46">
    <w:name w:val="xl46"/>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47">
    <w:name w:val="xl47"/>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48">
    <w:name w:val="xl48"/>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49">
    <w:name w:val="xl49"/>
    <w:basedOn w:val="Normal"/>
    <w:pPr>
      <w:pBdr>
        <w:top w:val="single" w:sz="4" w:space="0" w:color="000000"/>
        <w:left w:val="single" w:sz="4" w:space="0" w:color="000000"/>
        <w:bottom w:val="single" w:sz="4" w:space="0" w:color="000000"/>
        <w:right w:val="single" w:sz="4" w:space="0" w:color="000000"/>
      </w:pBdr>
      <w:shd w:val="clear" w:color="auto" w:fill="808080"/>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50">
    <w:name w:val="xl50"/>
    <w:basedOn w:val="Normal"/>
    <w:pPr>
      <w:pBdr>
        <w:top w:val="single" w:sz="4" w:space="0" w:color="000000"/>
        <w:left w:val="single" w:sz="4" w:space="0" w:color="000000"/>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51">
    <w:name w:val="xl51"/>
    <w:basedOn w:val="Normal"/>
    <w:pPr>
      <w:pBdr>
        <w:top w:val="single" w:sz="4" w:space="0" w:color="000000"/>
        <w:left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2">
    <w:name w:val="xl52"/>
    <w:basedOn w:val="Normal"/>
    <w:pPr>
      <w:pBdr>
        <w:top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3">
    <w:name w:val="xl53"/>
    <w:basedOn w:val="Normal"/>
    <w:pPr>
      <w:pBdr>
        <w:top w:val="single" w:sz="4" w:space="0" w:color="000000"/>
      </w:pBd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54">
    <w:name w:val="xl54"/>
    <w:basedOn w:val="Normal"/>
    <w:pPr>
      <w:pBdr>
        <w:top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55">
    <w:name w:val="xl55"/>
    <w:basedOn w:val="Normal"/>
    <w:pPr>
      <w:pBdr>
        <w:top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56">
    <w:name w:val="xl56"/>
    <w:basedOn w:val="Normal"/>
    <w:pP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57">
    <w:name w:val="xl57"/>
    <w:basedOn w:val="Normal"/>
    <w:pPr>
      <w:pBdr>
        <w:left w:val="single" w:sz="4" w:space="0" w:color="000000"/>
      </w:pBdr>
      <w:shd w:val="clear" w:color="auto" w:fill="808080"/>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8">
    <w:name w:val="xl58"/>
    <w:basedOn w:val="Normal"/>
    <w:pP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59">
    <w:name w:val="xl59"/>
    <w:basedOn w:val="Normal"/>
    <w:pP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60">
    <w:name w:val="xl60"/>
    <w:basedOn w:val="Normal"/>
    <w:pPr>
      <w:pBdr>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61">
    <w:name w:val="xl61"/>
    <w:basedOn w:val="Normal"/>
    <w:pPr>
      <w:pBdr>
        <w:left w:val="single" w:sz="4" w:space="0" w:color="000000"/>
      </w:pBdr>
      <w:shd w:val="clear" w:color="auto" w:fill="C0C0C0"/>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62">
    <w:name w:val="xl62"/>
    <w:basedOn w:val="Normal"/>
    <w:pPr>
      <w:pBdr>
        <w:left w:val="single" w:sz="4" w:space="0" w:color="000000"/>
        <w:bottom w:val="single" w:sz="4" w:space="0" w:color="000000"/>
      </w:pBdr>
      <w:shd w:val="clear" w:color="auto" w:fill="FF0000"/>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63">
    <w:name w:val="xl63"/>
    <w:basedOn w:val="Normal"/>
    <w:pPr>
      <w:pBdr>
        <w:bottom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64">
    <w:name w:val="xl64"/>
    <w:basedOn w:val="Normal"/>
    <w:pPr>
      <w:pBdr>
        <w:bottom w:val="single" w:sz="4" w:space="0" w:color="000000"/>
      </w:pBdr>
      <w:spacing w:before="100" w:after="100" w:line="1" w:lineRule="atLeast"/>
      <w:ind w:leftChars="-1" w:left="-1" w:hangingChars="1" w:hanging="1"/>
      <w:jc w:val="center"/>
      <w:textDirection w:val="btLr"/>
      <w:textAlignment w:val="center"/>
      <w:outlineLvl w:val="0"/>
    </w:pPr>
    <w:rPr>
      <w:rFonts w:ascii="Arial" w:eastAsia="Arial Unicode MS" w:hAnsi="Arial" w:cs="Arial"/>
      <w:position w:val="-1"/>
      <w:sz w:val="14"/>
      <w:szCs w:val="14"/>
      <w:lang w:val="es-ES" w:eastAsia="ar-SA"/>
    </w:rPr>
  </w:style>
  <w:style w:type="paragraph" w:customStyle="1" w:styleId="xl65">
    <w:name w:val="xl65"/>
    <w:basedOn w:val="Normal"/>
    <w:pPr>
      <w:pBdr>
        <w:bottom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66">
    <w:name w:val="xl66"/>
    <w:basedOn w:val="Normal"/>
    <w:pPr>
      <w:pBdr>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67">
    <w:name w:val="xl67"/>
    <w:basedOn w:val="Normal"/>
    <w:pP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68">
    <w:name w:val="xl68"/>
    <w:basedOn w:val="Normal"/>
    <w:pPr>
      <w:pBdr>
        <w:bottom w:val="single" w:sz="4" w:space="0" w:color="000000"/>
      </w:pBd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69">
    <w:name w:val="xl69"/>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70">
    <w:name w:val="xl70"/>
    <w:basedOn w:val="Normal"/>
    <w:pPr>
      <w:pBdr>
        <w:top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71">
    <w:name w:val="xl71"/>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72">
    <w:name w:val="xl72"/>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73">
    <w:name w:val="xl73"/>
    <w:basedOn w:val="Normal"/>
    <w:pPr>
      <w:pBdr>
        <w:top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74">
    <w:name w:val="xl74"/>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75">
    <w:name w:val="xl75"/>
    <w:basedOn w:val="Normal"/>
    <w:pPr>
      <w:pBdr>
        <w:top w:val="single" w:sz="4" w:space="0" w:color="000000"/>
        <w:lef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6">
    <w:name w:val="xl76"/>
    <w:basedOn w:val="Normal"/>
    <w:pPr>
      <w:pBdr>
        <w:top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7">
    <w:name w:val="xl77"/>
    <w:basedOn w:val="Normal"/>
    <w:pPr>
      <w:pBdr>
        <w:left w:val="single" w:sz="4" w:space="0" w:color="000000"/>
        <w:bottom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8">
    <w:name w:val="xl78"/>
    <w:basedOn w:val="Normal"/>
    <w:pPr>
      <w:pBdr>
        <w:bottom w:val="single" w:sz="4" w:space="0" w:color="000000"/>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79">
    <w:name w:val="xl79"/>
    <w:basedOn w:val="Normal"/>
    <w:pP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80">
    <w:name w:val="xl80"/>
    <w:basedOn w:val="Normal"/>
    <w:pPr>
      <w:pBdr>
        <w:right w:val="single" w:sz="4" w:space="0" w:color="000000"/>
      </w:pBdr>
      <w:spacing w:before="100" w:after="100" w:line="1" w:lineRule="atLeast"/>
      <w:ind w:leftChars="-1" w:left="-1" w:hangingChars="1" w:hanging="1"/>
      <w:textDirection w:val="btLr"/>
      <w:textAlignment w:val="center"/>
      <w:outlineLvl w:val="0"/>
    </w:pPr>
    <w:rPr>
      <w:rFonts w:ascii="Arial" w:eastAsia="Arial Unicode MS" w:hAnsi="Arial" w:cs="Arial"/>
      <w:position w:val="-1"/>
      <w:sz w:val="14"/>
      <w:szCs w:val="14"/>
      <w:lang w:val="es-ES" w:eastAsia="ar-SA"/>
    </w:rPr>
  </w:style>
  <w:style w:type="paragraph" w:customStyle="1" w:styleId="xl81">
    <w:name w:val="xl81"/>
    <w:basedOn w:val="Normal"/>
    <w:pPr>
      <w:pBdr>
        <w:left w:val="single" w:sz="4" w:space="0" w:color="000000"/>
        <w:bottom w:val="single" w:sz="4" w:space="0" w:color="000000"/>
      </w:pBdr>
      <w:spacing w:before="100" w:after="100" w:line="1" w:lineRule="atLeast"/>
      <w:ind w:leftChars="-1" w:left="-1" w:hangingChars="1" w:hanging="1"/>
      <w:jc w:val="both"/>
      <w:textDirection w:val="btLr"/>
      <w:textAlignment w:val="center"/>
      <w:outlineLvl w:val="0"/>
    </w:pPr>
    <w:rPr>
      <w:rFonts w:ascii="Arial" w:eastAsia="Arial Unicode MS" w:hAnsi="Arial" w:cs="Arial"/>
      <w:position w:val="-1"/>
      <w:sz w:val="14"/>
      <w:szCs w:val="14"/>
      <w:lang w:val="es-ES" w:eastAsia="ar-SA"/>
    </w:rPr>
  </w:style>
  <w:style w:type="paragraph" w:customStyle="1" w:styleId="xl82">
    <w:name w:val="xl82"/>
    <w:basedOn w:val="Normal"/>
    <w:pP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83">
    <w:name w:val="xl83"/>
    <w:basedOn w:val="Normal"/>
    <w:pPr>
      <w:pBdr>
        <w:bottom w:val="single" w:sz="4" w:space="0" w:color="000000"/>
      </w:pBdr>
      <w:spacing w:before="100" w:after="100" w:line="1" w:lineRule="atLeast"/>
      <w:ind w:leftChars="-1" w:left="-1" w:hangingChars="1" w:hanging="1"/>
      <w:jc w:val="center"/>
      <w:textDirection w:val="btLr"/>
      <w:textAlignment w:val="top"/>
      <w:outlineLvl w:val="0"/>
    </w:pPr>
    <w:rPr>
      <w:rFonts w:ascii="Arial" w:eastAsia="Arial Unicode MS" w:hAnsi="Arial" w:cs="Arial"/>
      <w:b/>
      <w:bCs/>
      <w:position w:val="-1"/>
      <w:sz w:val="22"/>
      <w:szCs w:val="22"/>
      <w:lang w:val="es-ES" w:eastAsia="ar-SA"/>
    </w:rPr>
  </w:style>
  <w:style w:type="paragraph" w:customStyle="1" w:styleId="xl84">
    <w:name w:val="xl84"/>
    <w:basedOn w:val="Normal"/>
    <w:pPr>
      <w:pBdr>
        <w:top w:val="single" w:sz="4" w:space="0" w:color="000000"/>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85">
    <w:name w:val="xl85"/>
    <w:basedOn w:val="Normal"/>
    <w:pPr>
      <w:pBdr>
        <w:top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86">
    <w:name w:val="xl86"/>
    <w:basedOn w:val="Normal"/>
    <w:pPr>
      <w:pBdr>
        <w:top w:val="single" w:sz="4" w:space="0" w:color="000000"/>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6"/>
      <w:szCs w:val="16"/>
      <w:lang w:val="es-ES" w:eastAsia="ar-SA"/>
    </w:rPr>
  </w:style>
  <w:style w:type="paragraph" w:customStyle="1" w:styleId="xl87">
    <w:name w:val="xl87"/>
    <w:basedOn w:val="Normal"/>
    <w:pPr>
      <w:pBdr>
        <w:left w:val="single" w:sz="4" w:space="0" w:color="000000"/>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88">
    <w:name w:val="xl88"/>
    <w:basedOn w:val="Normal"/>
    <w:pPr>
      <w:pBdr>
        <w:bottom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xl89">
    <w:name w:val="xl89"/>
    <w:basedOn w:val="Normal"/>
    <w:pPr>
      <w:pBdr>
        <w:bottom w:val="single" w:sz="4" w:space="0" w:color="000000"/>
        <w:right w:val="single" w:sz="4" w:space="0" w:color="000000"/>
      </w:pBdr>
      <w:shd w:val="clear" w:color="auto" w:fill="FFFF00"/>
      <w:spacing w:before="100" w:after="100" w:line="1" w:lineRule="atLeast"/>
      <w:ind w:leftChars="-1" w:left="-1" w:hangingChars="1" w:hanging="1"/>
      <w:jc w:val="center"/>
      <w:textDirection w:val="btLr"/>
      <w:textAlignment w:val="center"/>
      <w:outlineLvl w:val="0"/>
    </w:pPr>
    <w:rPr>
      <w:rFonts w:ascii="Arial" w:eastAsia="Arial Unicode MS" w:hAnsi="Arial" w:cs="Arial"/>
      <w:b/>
      <w:bCs/>
      <w:position w:val="-1"/>
      <w:sz w:val="14"/>
      <w:szCs w:val="14"/>
      <w:lang w:val="es-ES" w:eastAsia="ar-SA"/>
    </w:rPr>
  </w:style>
  <w:style w:type="paragraph" w:customStyle="1" w:styleId="CABEZA">
    <w:name w:val="CABEZA"/>
    <w:pPr>
      <w:autoSpaceDE w:val="0"/>
      <w:spacing w:line="216" w:lineRule="atLeast"/>
      <w:jc w:val="center"/>
    </w:pPr>
    <w:rPr>
      <w:rFonts w:ascii="CG Palacio (WN)" w:eastAsia="Times New Roman" w:hAnsi="CG Palacio (WN)" w:cs="Times New Roman"/>
      <w:kern w:val="1"/>
      <w:szCs w:val="20"/>
    </w:rPr>
  </w:style>
  <w:style w:type="paragraph" w:customStyle="1" w:styleId="CarCarCarCar">
    <w:name w:val="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CarCarCarCarCarCar">
    <w:name w:val="Car Car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Textocomentario1">
    <w:name w:val="Texto comentario1"/>
    <w:basedOn w:val="Normal"/>
    <w:pPr>
      <w:spacing w:line="1" w:lineRule="atLeast"/>
      <w:ind w:leftChars="-1" w:left="-1" w:hangingChars="1" w:hanging="1"/>
      <w:textDirection w:val="btLr"/>
      <w:textAlignment w:val="top"/>
      <w:outlineLvl w:val="0"/>
    </w:pPr>
    <w:rPr>
      <w:rFonts w:ascii="Times New Roman" w:eastAsia="Times New Roman" w:hAnsi="Times New Roman" w:cs="Times New Roman"/>
      <w:position w:val="-1"/>
      <w:sz w:val="20"/>
      <w:szCs w:val="20"/>
      <w:lang w:val="es-ES" w:eastAsia="ar-SA"/>
    </w:rPr>
  </w:style>
  <w:style w:type="paragraph" w:customStyle="1" w:styleId="CarCarCarCarCarCarCar">
    <w:name w:val="Car Car Car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CarCarCarCarCarCar1CarCarCarCarCarCarCarCarCarCarCarCarCar">
    <w:name w:val="Car Car Car Car Car Car1 Car Car Car Car Car Car Car Car Car Car Car Car Car"/>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ar-SA"/>
    </w:rPr>
  </w:style>
  <w:style w:type="paragraph" w:customStyle="1" w:styleId="Textosinformato1">
    <w:name w:val="Texto sin formato1"/>
    <w:basedOn w:val="Normal"/>
    <w:pPr>
      <w:spacing w:line="1" w:lineRule="atLeast"/>
      <w:ind w:leftChars="-1" w:left="-1" w:hangingChars="1" w:hanging="1"/>
      <w:textDirection w:val="btLr"/>
      <w:textAlignment w:val="top"/>
      <w:outlineLvl w:val="0"/>
    </w:pPr>
    <w:rPr>
      <w:rFonts w:ascii="Courier New" w:eastAsia="Times New Roman" w:hAnsi="Courier New" w:cs="Courier New"/>
      <w:position w:val="-1"/>
      <w:sz w:val="20"/>
      <w:szCs w:val="20"/>
      <w:lang w:val="es-ES" w:eastAsia="ar-SA"/>
    </w:rPr>
  </w:style>
  <w:style w:type="paragraph" w:customStyle="1" w:styleId="Contenidodelmarco">
    <w:name w:val="Contenido del marco"/>
    <w:basedOn w:val="Textoindependiente"/>
    <w:pPr>
      <w:spacing w:after="120"/>
      <w:ind w:right="0"/>
      <w:jc w:val="left"/>
    </w:pPr>
    <w:rPr>
      <w:rFonts w:ascii="Times New Roman" w:hAnsi="Times New Roman"/>
      <w:sz w:val="24"/>
      <w:lang w:val="es-ES"/>
    </w:rPr>
  </w:style>
  <w:style w:type="paragraph" w:styleId="Sangra2detindependiente">
    <w:name w:val="Body Text Indent 2"/>
    <w:basedOn w:val="Normal"/>
    <w:pPr>
      <w:spacing w:after="120" w:line="480" w:lineRule="auto"/>
      <w:ind w:leftChars="-1" w:left="283" w:hangingChars="1" w:hanging="1"/>
      <w:textDirection w:val="btLr"/>
      <w:textAlignment w:val="top"/>
      <w:outlineLvl w:val="0"/>
    </w:pPr>
    <w:rPr>
      <w:rFonts w:ascii="Times New Roman" w:eastAsia="Times New Roman" w:hAnsi="Times New Roman" w:cs="Times New Roman"/>
      <w:position w:val="-1"/>
      <w:szCs w:val="20"/>
      <w:lang w:val="es-ES" w:eastAsia="ar-SA"/>
    </w:rPr>
  </w:style>
  <w:style w:type="character" w:customStyle="1" w:styleId="Sangra2detindependienteCar">
    <w:name w:val="Sangría 2 de t. independiente Car"/>
    <w:rPr>
      <w:rFonts w:ascii="Times New Roman" w:eastAsia="Times New Roman" w:hAnsi="Times New Roman" w:cs="Times New Roman"/>
      <w:w w:val="100"/>
      <w:position w:val="-1"/>
      <w:szCs w:val="20"/>
      <w:effect w:val="none"/>
      <w:vertAlign w:val="baseline"/>
      <w:cs w:val="0"/>
      <w:em w:val="none"/>
      <w:lang w:val="es-ES" w:eastAsia="ar-SA"/>
    </w:rPr>
  </w:style>
  <w:style w:type="paragraph" w:styleId="Listaconvietas2">
    <w:name w:val="List Bullet 2"/>
    <w:basedOn w:val="Normal"/>
    <w:pPr>
      <w:numPr>
        <w:numId w:val="4"/>
      </w:numPr>
      <w:suppressAutoHyphens/>
      <w:overflowPunct w:val="0"/>
      <w:autoSpaceDE w:val="0"/>
      <w:autoSpaceDN w:val="0"/>
      <w:adjustRightInd w:val="0"/>
      <w:spacing w:line="1" w:lineRule="atLeast"/>
      <w:ind w:leftChars="-1" w:left="-1" w:hangingChars="1" w:hanging="1"/>
      <w:textDirection w:val="btLr"/>
      <w:textAlignment w:val="baseline"/>
      <w:outlineLvl w:val="0"/>
    </w:pPr>
    <w:rPr>
      <w:rFonts w:ascii="Times New Roman" w:eastAsia="Times New Roman" w:hAnsi="Times New Roman" w:cs="Times New Roman"/>
      <w:position w:val="-1"/>
      <w:sz w:val="20"/>
      <w:szCs w:val="20"/>
      <w:lang w:val="es-MX" w:eastAsia="es-ES"/>
    </w:rPr>
  </w:style>
  <w:style w:type="paragraph" w:styleId="Textoindependienteprimerasangra2">
    <w:name w:val="Body Text First Indent 2"/>
    <w:basedOn w:val="Sangradetextonormal"/>
    <w:pPr>
      <w:suppressAutoHyphens/>
      <w:overflowPunct w:val="0"/>
      <w:autoSpaceDE w:val="0"/>
      <w:autoSpaceDN w:val="0"/>
      <w:adjustRightInd w:val="0"/>
      <w:ind w:firstLine="210"/>
      <w:textAlignment w:val="baseline"/>
    </w:pPr>
    <w:rPr>
      <w:sz w:val="20"/>
      <w:lang w:eastAsia="es-ES"/>
    </w:rPr>
  </w:style>
  <w:style w:type="character" w:customStyle="1" w:styleId="Textoindependienteprimerasangra2Car">
    <w:name w:val="Texto independiente primera sangría 2 Car"/>
    <w:rPr>
      <w:rFonts w:ascii="Times New Roman" w:eastAsia="Times New Roman" w:hAnsi="Times New Roman" w:cs="Times New Roman"/>
      <w:w w:val="100"/>
      <w:position w:val="-1"/>
      <w:sz w:val="20"/>
      <w:szCs w:val="20"/>
      <w:effect w:val="none"/>
      <w:vertAlign w:val="baseline"/>
      <w:cs w:val="0"/>
      <w:em w:val="none"/>
      <w:lang w:val="es-ES" w:eastAsia="es-ES"/>
    </w:rPr>
  </w:style>
  <w:style w:type="paragraph" w:customStyle="1" w:styleId="Sangra3detindependiente2">
    <w:name w:val="Sangría 3 de t. independiente2"/>
    <w:basedOn w:val="Normal"/>
    <w:pPr>
      <w:suppressAutoHyphens/>
      <w:spacing w:line="1" w:lineRule="atLeast"/>
      <w:ind w:leftChars="-1" w:left="1800" w:hangingChars="1" w:hanging="720"/>
      <w:jc w:val="both"/>
      <w:textDirection w:val="btLr"/>
      <w:textAlignment w:val="top"/>
      <w:outlineLvl w:val="0"/>
    </w:pPr>
    <w:rPr>
      <w:rFonts w:ascii="Arial" w:eastAsia="Times New Roman" w:hAnsi="Arial" w:cs="Times New Roman"/>
      <w:position w:val="-1"/>
      <w:sz w:val="22"/>
      <w:szCs w:val="20"/>
      <w:lang w:val="es-ES" w:eastAsia="es-ES"/>
    </w:rPr>
  </w:style>
  <w:style w:type="character" w:customStyle="1" w:styleId="DeltaViewInsertion">
    <w:name w:val="DeltaView Insertion"/>
    <w:rPr>
      <w:color w:val="0000FF"/>
      <w:spacing w:val="0"/>
      <w:w w:val="100"/>
      <w:position w:val="-1"/>
      <w:u w:val="double"/>
      <w:effect w:val="none"/>
      <w:vertAlign w:val="baseline"/>
      <w:cs w:val="0"/>
      <w:em w:val="none"/>
    </w:rPr>
  </w:style>
  <w:style w:type="paragraph" w:styleId="Textodebloque">
    <w:name w:val="Block Text"/>
    <w:basedOn w:val="Normal"/>
    <w:pPr>
      <w:suppressAutoHyphens/>
      <w:spacing w:line="1" w:lineRule="atLeast"/>
      <w:ind w:leftChars="-1" w:left="1440" w:right="-93" w:hangingChars="1" w:hanging="1"/>
      <w:jc w:val="both"/>
      <w:textDirection w:val="btLr"/>
      <w:textAlignment w:val="top"/>
      <w:outlineLvl w:val="0"/>
    </w:pPr>
    <w:rPr>
      <w:rFonts w:ascii="Arial" w:eastAsia="Times New Roman" w:hAnsi="Arial" w:cs="Arial"/>
      <w:position w:val="-1"/>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pPr>
      <w:suppressAutoHyphens/>
      <w:spacing w:after="160" w:line="240" w:lineRule="atLeast"/>
      <w:ind w:leftChars="-1" w:left="-1" w:hangingChars="1" w:hanging="1"/>
      <w:textDirection w:val="btLr"/>
      <w:textAlignment w:val="top"/>
      <w:outlineLvl w:val="0"/>
    </w:pPr>
    <w:rPr>
      <w:rFonts w:ascii="Tahoma" w:eastAsia="Times New Roman" w:hAnsi="Tahoma" w:cs="Times New Roman"/>
      <w:position w:val="-1"/>
      <w:sz w:val="20"/>
      <w:szCs w:val="20"/>
      <w:lang w:val="en-US" w:eastAsia="en-US"/>
    </w:rPr>
  </w:style>
  <w:style w:type="paragraph" w:styleId="Mapadeldocumento">
    <w:name w:val="Document Map"/>
    <w:basedOn w:val="Normal"/>
    <w:pPr>
      <w:shd w:val="clear" w:color="auto" w:fill="000080"/>
      <w:suppressAutoHyphens/>
      <w:spacing w:line="1" w:lineRule="atLeast"/>
      <w:ind w:leftChars="-1" w:left="-1" w:hangingChars="1" w:hanging="1"/>
      <w:textDirection w:val="btLr"/>
      <w:textAlignment w:val="top"/>
      <w:outlineLvl w:val="0"/>
    </w:pPr>
    <w:rPr>
      <w:rFonts w:ascii="Tahoma" w:eastAsia="Times New Roman" w:hAnsi="Tahoma" w:cs="Tahoma"/>
      <w:position w:val="-1"/>
      <w:sz w:val="20"/>
      <w:szCs w:val="20"/>
      <w:lang w:val="es-ES" w:eastAsia="es-ES"/>
    </w:rPr>
  </w:style>
  <w:style w:type="character" w:customStyle="1" w:styleId="MapadeldocumentoCar">
    <w:name w:val="Mapa del documento Car"/>
    <w:rPr>
      <w:rFonts w:ascii="Tahoma" w:eastAsia="Times New Roman" w:hAnsi="Tahoma" w:cs="Tahoma"/>
      <w:w w:val="100"/>
      <w:position w:val="-1"/>
      <w:sz w:val="20"/>
      <w:szCs w:val="20"/>
      <w:effect w:val="none"/>
      <w:shd w:val="clear" w:color="auto" w:fill="000080"/>
      <w:vertAlign w:val="baseline"/>
      <w:cs w:val="0"/>
      <w:em w:val="none"/>
      <w:lang w:val="es-ES" w:eastAsia="es-ES"/>
    </w:rPr>
  </w:style>
  <w:style w:type="character" w:styleId="Hipervnculovisitado">
    <w:name w:val="FollowedHyperlink"/>
    <w:qFormat/>
    <w:rPr>
      <w:color w:val="800080"/>
      <w:w w:val="100"/>
      <w:position w:val="-1"/>
      <w:u w:val="single"/>
      <w:effect w:val="none"/>
      <w:vertAlign w:val="baseline"/>
      <w:cs w:val="0"/>
      <w:em w:val="none"/>
    </w:rPr>
  </w:style>
  <w:style w:type="paragraph" w:customStyle="1" w:styleId="CarCar4">
    <w:name w:val="Car Car4"/>
    <w:basedOn w:val="Normal"/>
    <w:pPr>
      <w:spacing w:before="60" w:after="160" w:line="240" w:lineRule="atLeast"/>
      <w:ind w:leftChars="-1" w:left="-1" w:hangingChars="1" w:hanging="1"/>
      <w:textDirection w:val="btLr"/>
      <w:textAlignment w:val="top"/>
      <w:outlineLvl w:val="0"/>
    </w:pPr>
    <w:rPr>
      <w:rFonts w:ascii="Verdana" w:eastAsia="Times New Roman" w:hAnsi="Verdana" w:cs="Times New Roman"/>
      <w:color w:val="FF00FF"/>
      <w:position w:val="-1"/>
      <w:sz w:val="20"/>
      <w:szCs w:val="20"/>
      <w:lang w:val="en-US" w:eastAsia="en-US"/>
    </w:rPr>
  </w:style>
  <w:style w:type="paragraph" w:customStyle="1" w:styleId="Style27">
    <w:name w:val="Style 27"/>
    <w:basedOn w:val="Normal"/>
    <w:pPr>
      <w:widowControl w:val="0"/>
      <w:suppressAutoHyphens/>
      <w:autoSpaceDE w:val="0"/>
      <w:autoSpaceDN w:val="0"/>
      <w:spacing w:line="1" w:lineRule="atLeast"/>
      <w:ind w:leftChars="-1" w:left="72" w:hangingChars="1" w:hanging="1"/>
      <w:textDirection w:val="btLr"/>
      <w:textAlignment w:val="top"/>
      <w:outlineLvl w:val="0"/>
    </w:pPr>
    <w:rPr>
      <w:rFonts w:ascii="Arial" w:eastAsia="Times New Roman" w:hAnsi="Arial" w:cs="Times New Roman"/>
      <w:position w:val="-1"/>
      <w:sz w:val="22"/>
      <w:lang w:val="en-US" w:eastAsia="es-ES"/>
    </w:rPr>
  </w:style>
  <w:style w:type="character" w:customStyle="1" w:styleId="WW8Num34z0">
    <w:name w:val="WW8Num34z0"/>
    <w:rPr>
      <w:rFonts w:ascii="Symbol" w:hAnsi="Symbol"/>
      <w:b/>
      <w:w w:val="100"/>
      <w:position w:val="-1"/>
      <w:effect w:val="none"/>
      <w:vertAlign w:val="baseline"/>
      <w:cs w:val="0"/>
      <w:em w:val="none"/>
    </w:rPr>
  </w:style>
  <w:style w:type="paragraph" w:customStyle="1" w:styleId="Textoindependiente22">
    <w:name w:val="Texto independiente 22"/>
    <w:basedOn w:val="Normal"/>
    <w:pPr>
      <w:widowControl w:val="0"/>
      <w:overflowPunct w:val="0"/>
      <w:autoSpaceDE w:val="0"/>
      <w:spacing w:line="1" w:lineRule="atLeast"/>
      <w:ind w:leftChars="-1" w:left="-1" w:hangingChars="1" w:hanging="1"/>
      <w:jc w:val="both"/>
      <w:textDirection w:val="btLr"/>
      <w:textAlignment w:val="top"/>
      <w:outlineLvl w:val="0"/>
    </w:pPr>
    <w:rPr>
      <w:rFonts w:ascii="Arial" w:eastAsia="Times New Roman" w:hAnsi="Arial" w:cs="Times New Roman"/>
      <w:position w:val="-1"/>
      <w:sz w:val="20"/>
      <w:szCs w:val="20"/>
      <w:lang w:val="es-ES" w:eastAsia="ar-SA"/>
    </w:rPr>
  </w:style>
  <w:style w:type="paragraph" w:customStyle="1" w:styleId="Textoindependiente32">
    <w:name w:val="Texto independiente 32"/>
    <w:basedOn w:val="Normal"/>
    <w:pPr>
      <w:overflowPunct w:val="0"/>
      <w:autoSpaceDE w:val="0"/>
      <w:spacing w:line="1" w:lineRule="atLeast"/>
      <w:ind w:leftChars="-1" w:left="-1" w:hangingChars="1" w:hanging="1"/>
      <w:jc w:val="both"/>
      <w:textDirection w:val="btLr"/>
      <w:textAlignment w:val="top"/>
      <w:outlineLvl w:val="0"/>
    </w:pPr>
    <w:rPr>
      <w:rFonts w:ascii="Times New Roman" w:eastAsia="Times New Roman" w:hAnsi="Times New Roman" w:cs="Times New Roman"/>
      <w:position w:val="-1"/>
      <w:szCs w:val="20"/>
      <w:lang w:val="es-ES" w:eastAsia="ar-SA"/>
    </w:rPr>
  </w:style>
  <w:style w:type="character" w:styleId="nfasis">
    <w:name w:val="Emphasis"/>
    <w:rPr>
      <w:rFonts w:ascii="Times New Roman" w:hAnsi="Times New Roman" w:cs="Times New Roman" w:hint="default"/>
      <w:i/>
      <w:w w:val="100"/>
      <w:position w:val="-1"/>
      <w:effect w:val="none"/>
      <w:vertAlign w:val="baseline"/>
      <w:cs w:val="0"/>
      <w:em w:val="none"/>
    </w:rPr>
  </w:style>
  <w:style w:type="paragraph" w:customStyle="1" w:styleId="INCISO">
    <w:name w:val="INCISO"/>
    <w:basedOn w:val="Normal"/>
    <w:pPr>
      <w:suppressAutoHyphens/>
      <w:spacing w:after="101" w:line="216" w:lineRule="atLeast"/>
      <w:ind w:leftChars="-1" w:left="1152" w:hangingChars="1" w:hanging="432"/>
      <w:jc w:val="both"/>
      <w:textDirection w:val="btLr"/>
      <w:textAlignment w:val="top"/>
      <w:outlineLvl w:val="0"/>
    </w:pPr>
    <w:rPr>
      <w:rFonts w:ascii="Arial" w:eastAsia="Times New Roman" w:hAnsi="Arial" w:cs="Arial"/>
      <w:position w:val="-1"/>
      <w:sz w:val="18"/>
      <w:szCs w:val="18"/>
      <w:lang w:val="es-MX" w:eastAsia="ar-SA"/>
    </w:rPr>
  </w:style>
  <w:style w:type="paragraph" w:customStyle="1" w:styleId="Sangra3detindependiente11">
    <w:name w:val="Sangría 3 de t. independiente11"/>
    <w:basedOn w:val="Normal"/>
    <w:pPr>
      <w:autoSpaceDE w:val="0"/>
      <w:spacing w:line="1" w:lineRule="atLeast"/>
      <w:ind w:leftChars="-1" w:left="284" w:hangingChars="1" w:hanging="284"/>
      <w:jc w:val="both"/>
      <w:textDirection w:val="btLr"/>
      <w:textAlignment w:val="top"/>
      <w:outlineLvl w:val="0"/>
    </w:pPr>
    <w:rPr>
      <w:rFonts w:ascii="Arial" w:eastAsia="Times New Roman" w:hAnsi="Arial" w:cs="Arial"/>
      <w:position w:val="-1"/>
      <w:sz w:val="20"/>
      <w:szCs w:val="20"/>
      <w:lang w:val="es-MX" w:eastAsia="ar-SA"/>
    </w:rPr>
  </w:style>
  <w:style w:type="paragraph" w:customStyle="1" w:styleId="Sangra2detindependiente2">
    <w:name w:val="Sangría 2 de t. independiente2"/>
    <w:basedOn w:val="Normal"/>
    <w:pPr>
      <w:suppressAutoHyphens/>
      <w:overflowPunct w:val="0"/>
      <w:autoSpaceDE w:val="0"/>
      <w:spacing w:before="100" w:line="1" w:lineRule="atLeast"/>
      <w:ind w:leftChars="-1" w:left="1985" w:hangingChars="1" w:hanging="1"/>
      <w:jc w:val="both"/>
      <w:textDirection w:val="btLr"/>
      <w:textAlignment w:val="top"/>
      <w:outlineLvl w:val="0"/>
    </w:pPr>
    <w:rPr>
      <w:rFonts w:ascii="Arial" w:eastAsia="Times New Roman" w:hAnsi="Arial" w:cs="Times New Roman"/>
      <w:position w:val="-1"/>
      <w:sz w:val="22"/>
      <w:szCs w:val="20"/>
      <w:lang w:val="es-ES" w:eastAsia="ar-SA"/>
    </w:rPr>
  </w:style>
  <w:style w:type="paragraph" w:customStyle="1" w:styleId="Default">
    <w:name w:val="Default"/>
    <w:pPr>
      <w:suppressAutoHyphens/>
      <w:autoSpaceDE w:val="0"/>
      <w:autoSpaceDN w:val="0"/>
      <w:adjustRightInd w:val="0"/>
      <w:spacing w:line="1" w:lineRule="atLeast"/>
      <w:ind w:leftChars="-1" w:left="-1" w:hangingChars="1" w:hanging="1"/>
      <w:jc w:val="center"/>
      <w:textDirection w:val="btLr"/>
      <w:textAlignment w:val="top"/>
      <w:outlineLvl w:val="0"/>
    </w:pPr>
    <w:rPr>
      <w:rFonts w:ascii="Arial" w:eastAsia="Times New Roman" w:hAnsi="Arial" w:cs="Arial"/>
      <w:color w:val="000000"/>
      <w:position w:val="-1"/>
      <w:lang w:val="es-ES" w:eastAsia="es-ES"/>
    </w:rPr>
  </w:style>
  <w:style w:type="paragraph" w:styleId="Textonotapie">
    <w:name w:val="footnote text"/>
    <w:basedOn w:val="Normal"/>
    <w:qFormat/>
    <w:pPr>
      <w:keepLines/>
      <w:suppressAutoHyphens/>
      <w:spacing w:after="80" w:line="1" w:lineRule="atLeast"/>
      <w:ind w:leftChars="-1" w:left="-1" w:hangingChars="1" w:hanging="1"/>
      <w:jc w:val="both"/>
      <w:textDirection w:val="btLr"/>
      <w:textAlignment w:val="top"/>
      <w:outlineLvl w:val="0"/>
    </w:pPr>
    <w:rPr>
      <w:rFonts w:ascii="Arial" w:hAnsi="Arial" w:cs="Times New Roman"/>
      <w:position w:val="-1"/>
      <w:sz w:val="20"/>
      <w:szCs w:val="20"/>
      <w:lang w:val="es-MX" w:eastAsia="es-ES"/>
    </w:rPr>
  </w:style>
  <w:style w:type="character" w:customStyle="1" w:styleId="TextonotapieCar">
    <w:name w:val="Texto nota pie Car"/>
    <w:rPr>
      <w:rFonts w:ascii="Arial" w:eastAsia="Calibri" w:hAnsi="Arial" w:cs="Times New Roman"/>
      <w:w w:val="100"/>
      <w:position w:val="-1"/>
      <w:sz w:val="20"/>
      <w:szCs w:val="20"/>
      <w:effect w:val="none"/>
      <w:vertAlign w:val="baseline"/>
      <w:cs w:val="0"/>
      <w:em w:val="none"/>
      <w:lang w:eastAsia="es-ES"/>
    </w:rPr>
  </w:style>
  <w:style w:type="paragraph" w:customStyle="1" w:styleId="BalloonText1">
    <w:name w:val="Balloon Text1"/>
    <w:basedOn w:val="Normal"/>
    <w:pPr>
      <w:widowControl w:val="0"/>
      <w:suppressAutoHyphens/>
      <w:spacing w:line="1" w:lineRule="atLeast"/>
      <w:ind w:leftChars="-1" w:left="-1" w:hangingChars="1" w:hanging="1"/>
      <w:jc w:val="both"/>
      <w:textDirection w:val="btLr"/>
      <w:textAlignment w:val="top"/>
      <w:outlineLvl w:val="0"/>
    </w:pPr>
    <w:rPr>
      <w:rFonts w:ascii="Tahoma" w:hAnsi="Tahoma" w:cs="Tahoma"/>
      <w:position w:val="-1"/>
      <w:sz w:val="16"/>
      <w:szCs w:val="16"/>
      <w:lang w:val="es-MX" w:eastAsia="es-ES"/>
    </w:rPr>
  </w:style>
  <w:style w:type="paragraph" w:customStyle="1" w:styleId="Textodebloque1">
    <w:name w:val="Texto de bloque1"/>
    <w:basedOn w:val="Normal"/>
    <w:pPr>
      <w:overflowPunct w:val="0"/>
      <w:autoSpaceDE w:val="0"/>
      <w:spacing w:line="1" w:lineRule="atLeast"/>
      <w:ind w:leftChars="-1" w:left="1843" w:right="51" w:hangingChars="1" w:hanging="1"/>
      <w:jc w:val="both"/>
      <w:textDirection w:val="btLr"/>
      <w:textAlignment w:val="top"/>
      <w:outlineLvl w:val="0"/>
    </w:pPr>
    <w:rPr>
      <w:rFonts w:ascii="Arial" w:eastAsia="Times New Roman" w:hAnsi="Arial" w:cs="Arial"/>
      <w:position w:val="-1"/>
      <w:lang w:val="es-MX" w:eastAsia="ar-SA"/>
    </w:rPr>
  </w:style>
  <w:style w:type="character" w:styleId="Mencinsinresolver">
    <w:name w:val="Unresolved Mention"/>
    <w:qFormat/>
    <w:rPr>
      <w:color w:val="605E5C"/>
      <w:w w:val="100"/>
      <w:position w:val="-1"/>
      <w:effect w:val="none"/>
      <w:shd w:val="clear" w:color="auto" w:fill="E1DFDD"/>
      <w:vertAlign w:val="baseline"/>
      <w:cs w:val="0"/>
      <w:em w:val="none"/>
    </w:rPr>
  </w:style>
  <w:style w:type="paragraph" w:customStyle="1" w:styleId="msonormal0">
    <w:name w:val="msonormal"/>
    <w:basedOn w:val="Normal"/>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table" w:customStyle="1" w:styleId="241">
    <w:name w:val="241"/>
    <w:basedOn w:val="Tablanormal"/>
    <w:pPr>
      <w:suppressAutoHyphens/>
      <w:spacing w:line="1" w:lineRule="atLeast"/>
      <w:ind w:leftChars="-1" w:left="-1" w:hangingChars="1" w:hanging="1"/>
      <w:textDirection w:val="btLr"/>
      <w:textAlignment w:val="top"/>
      <w:outlineLvl w:val="0"/>
    </w:pPr>
    <w:rPr>
      <w:rFonts w:ascii="Times New Roman" w:eastAsia="Times New Roman" w:hAnsi="Times New Roman" w:cs="Times New Roman"/>
      <w:color w:val="000000"/>
      <w:position w:val="-1"/>
      <w:sz w:val="22"/>
      <w:szCs w:val="22"/>
      <w:lang w:val="es-ES"/>
    </w:rPr>
    <w:tblPr>
      <w:tblStyleRowBandSize w:val="1"/>
      <w:tblStyleColBandSize w:val="1"/>
      <w:tblInd w:w="0" w:type="nil"/>
      <w:tblCellMar>
        <w:top w:w="28" w:type="dxa"/>
        <w:bottom w:w="28" w:type="dxa"/>
      </w:tblCellMar>
    </w:tblPr>
  </w:style>
  <w:style w:type="numbering" w:customStyle="1" w:styleId="Sinlista11">
    <w:name w:val="Sin lista11"/>
    <w:next w:val="Sinlista"/>
    <w:qFormat/>
  </w:style>
  <w:style w:type="table" w:customStyle="1" w:styleId="TableNormal11">
    <w:name w:val="Table Normal11"/>
    <w:pPr>
      <w:suppressAutoHyphens/>
      <w:spacing w:line="1" w:lineRule="atLeast"/>
      <w:ind w:leftChars="-1" w:left="-1" w:hangingChars="1" w:hanging="1"/>
      <w:textDirection w:val="btLr"/>
      <w:textAlignment w:val="top"/>
      <w:outlineLvl w:val="0"/>
    </w:pPr>
    <w:rPr>
      <w:position w:val="-1"/>
      <w:lang w:val="es-ES"/>
    </w:rPr>
    <w:tblPr>
      <w:tblCellMar>
        <w:top w:w="0" w:type="dxa"/>
        <w:left w:w="0" w:type="dxa"/>
        <w:bottom w:w="0" w:type="dxa"/>
        <w:right w:w="0" w:type="dxa"/>
      </w:tblCellMar>
    </w:tblPr>
  </w:style>
  <w:style w:type="table" w:customStyle="1" w:styleId="121">
    <w:name w:val="12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11">
    <w:name w:val="11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01">
    <w:name w:val="1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91">
    <w:name w:val="9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81">
    <w:name w:val="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71">
    <w:name w:val="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61">
    <w:name w:val="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51">
    <w:name w:val="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42">
    <w:name w:val="42"/>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10">
    <w:name w:val="310"/>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10">
    <w:name w:val="210"/>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10">
    <w:name w:val="110"/>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401">
    <w:name w:val="4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91">
    <w:name w:val="39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81">
    <w:name w:val="3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71">
    <w:name w:val="3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61">
    <w:name w:val="3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51">
    <w:name w:val="3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41">
    <w:name w:val="34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31">
    <w:name w:val="33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21">
    <w:name w:val="32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11">
    <w:name w:val="31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301">
    <w:name w:val="3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91">
    <w:name w:val="291"/>
    <w:basedOn w:val="TableNormal10"/>
    <w:pPr>
      <w:ind w:left="0"/>
      <w:jc w:val="left"/>
    </w:pPr>
    <w:tblPr>
      <w:tblStyleRowBandSize w:val="1"/>
      <w:tblStyleColBandSize w:val="1"/>
      <w:tblCellMar>
        <w:top w:w="15" w:type="dxa"/>
        <w:left w:w="15" w:type="dxa"/>
        <w:bottom w:w="15" w:type="dxa"/>
        <w:right w:w="15" w:type="dxa"/>
      </w:tblCellMar>
    </w:tblPr>
  </w:style>
  <w:style w:type="table" w:customStyle="1" w:styleId="281">
    <w:name w:val="2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71">
    <w:name w:val="2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61">
    <w:name w:val="2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51">
    <w:name w:val="2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42">
    <w:name w:val="242"/>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31">
    <w:name w:val="23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21">
    <w:name w:val="22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11">
    <w:name w:val="21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201">
    <w:name w:val="20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91">
    <w:name w:val="19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81">
    <w:name w:val="18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71">
    <w:name w:val="17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61">
    <w:name w:val="16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51">
    <w:name w:val="15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41">
    <w:name w:val="14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131">
    <w:name w:val="131"/>
    <w:basedOn w:val="TableNormal10"/>
    <w:pPr>
      <w:ind w:left="0"/>
      <w:jc w:val="left"/>
    </w:pPr>
    <w:rPr>
      <w:rFonts w:ascii="Times New Roman" w:eastAsia="Times New Roman" w:hAnsi="Times New Roman" w:cs="Times New Roman"/>
      <w:color w:val="000000"/>
      <w:sz w:val="22"/>
      <w:szCs w:val="22"/>
    </w:rPr>
    <w:tblPr>
      <w:tblStyleRowBandSize w:val="1"/>
      <w:tblStyleColBandSize w:val="1"/>
      <w:tblCellMar>
        <w:top w:w="28" w:type="dxa"/>
        <w:left w:w="108" w:type="dxa"/>
        <w:bottom w:w="28" w:type="dxa"/>
        <w:right w:w="108" w:type="dxa"/>
      </w:tblCellMar>
    </w:tblPr>
  </w:style>
  <w:style w:type="table" w:customStyle="1" w:styleId="Tablaconcuadrcula21">
    <w:name w:val="Tabla con cuadrícula21"/>
    <w:basedOn w:val="Tablanormal"/>
    <w:next w:val="Tablaconcuadrcula"/>
    <w:pPr>
      <w:suppressAutoHyphens/>
      <w:spacing w:line="1" w:lineRule="atLeast"/>
      <w:ind w:leftChars="-1" w:left="-1" w:hangingChars="1" w:hanging="1"/>
      <w:textDirection w:val="btLr"/>
      <w:textAlignment w:val="top"/>
      <w:outlineLvl w:val="0"/>
    </w:pPr>
    <w:rPr>
      <w:position w:val="-1"/>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qFormat/>
  </w:style>
  <w:style w:type="table" w:customStyle="1" w:styleId="Tablaconcuadrcula3">
    <w:name w:val="Tabla con cuadrícula3"/>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qFormat/>
  </w:style>
  <w:style w:type="table" w:customStyle="1" w:styleId="Tablaconcuadrcula4">
    <w:name w:val="Tabla con cuadrícula4"/>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1">
    <w:name w:val="Sin lista111"/>
    <w:next w:val="Sinlista"/>
    <w:qFormat/>
  </w:style>
  <w:style w:type="table" w:customStyle="1" w:styleId="Tablaconcuadrcula32">
    <w:name w:val="Tabla con cuadrícula32"/>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1">
    <w:name w:val="Tabla con cuadrícula3211"/>
    <w:basedOn w:val="Tablanormal"/>
    <w:next w:val="Tablaconcuadrcula"/>
    <w:pPr>
      <w:suppressAutoHyphens/>
      <w:spacing w:line="1" w:lineRule="atLeast"/>
      <w:ind w:leftChars="-1" w:left="-1" w:hangingChars="1" w:hanging="1"/>
      <w:textDirection w:val="btLr"/>
      <w:textAlignment w:val="top"/>
      <w:outlineLvl w:val="0"/>
    </w:pPr>
    <w:rPr>
      <w:rFonts w:cs="Times New Roman"/>
      <w:position w:val="-1"/>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rPr>
      <w:rFonts w:ascii="Segoe UI" w:hAnsi="Segoe UI" w:cs="Segoe UI" w:hint="default"/>
      <w:w w:val="100"/>
      <w:position w:val="-1"/>
      <w:sz w:val="18"/>
      <w:szCs w:val="18"/>
      <w:effect w:val="none"/>
      <w:vertAlign w:val="baseline"/>
      <w:cs w:val="0"/>
      <w:em w:val="none"/>
    </w:rPr>
  </w:style>
  <w:style w:type="paragraph" w:customStyle="1" w:styleId="pf0">
    <w:name w:val="pf0"/>
    <w:basedOn w:val="Normal"/>
    <w:pPr>
      <w:suppressAutoHyphens/>
      <w:spacing w:before="100" w:beforeAutospacing="1" w:after="100" w:afterAutospacing="1" w:line="1" w:lineRule="atLeast"/>
      <w:ind w:leftChars="-1" w:left="-1" w:hangingChars="1" w:hanging="1"/>
      <w:textDirection w:val="btLr"/>
      <w:textAlignment w:val="top"/>
      <w:outlineLvl w:val="0"/>
    </w:pPr>
    <w:rPr>
      <w:rFonts w:ascii="Times New Roman" w:eastAsia="Times New Roman" w:hAnsi="Times New Roman" w:cs="Times New Roman"/>
      <w:position w:val="-1"/>
      <w:lang w:val="es-MX"/>
    </w:rPr>
  </w:style>
  <w:style w:type="character" w:customStyle="1" w:styleId="cf11">
    <w:name w:val="cf11"/>
    <w:rPr>
      <w:rFonts w:ascii="Segoe UI" w:hAnsi="Segoe UI" w:cs="Segoe UI" w:hint="default"/>
      <w:w w:val="100"/>
      <w:position w:val="-1"/>
      <w:sz w:val="18"/>
      <w:szCs w:val="18"/>
      <w:effect w:val="none"/>
      <w:vertAlign w:val="baseline"/>
      <w:cs w:val="0"/>
      <w:em w:val="none"/>
    </w:rPr>
  </w:style>
  <w:style w:type="table" w:customStyle="1" w:styleId="TableNormal20">
    <w:name w:val="Table Normal2"/>
    <w:pPr>
      <w:suppressAutoHyphens/>
      <w:spacing w:line="1" w:lineRule="atLeast"/>
      <w:ind w:leftChars="-1" w:left="-1" w:hangingChars="1" w:hanging="1"/>
      <w:textDirection w:val="btLr"/>
      <w:textAlignment w:val="top"/>
      <w:outlineLvl w:val="0"/>
    </w:pPr>
    <w:rPr>
      <w:position w:val="-1"/>
      <w:lang w:val="es-ES"/>
    </w:rPr>
    <w:tblPr>
      <w:tblCellMar>
        <w:top w:w="0" w:type="dxa"/>
        <w:left w:w="0" w:type="dxa"/>
        <w:bottom w:w="0" w:type="dxa"/>
        <w:right w:w="0" w:type="dxa"/>
      </w:tblCellMar>
    </w:tblPr>
  </w:style>
  <w:style w:type="character" w:customStyle="1" w:styleId="Hipervnculo1">
    <w:name w:val="Hipervínculo1"/>
    <w:aliases w:val="Hipervínculo11,Hipervínculo12,Hipervínculo13,Hipervínculo14,Hipervínculo15"/>
    <w:qFormat/>
    <w:rPr>
      <w:color w:val="0563C1"/>
      <w:w w:val="100"/>
      <w:position w:val="-1"/>
      <w:u w:val="single"/>
      <w:effect w:val="none"/>
      <w:vertAlign w:val="baseline"/>
      <w:cs w:val="0"/>
      <w:em w:val="none"/>
    </w:rPr>
  </w:style>
  <w:style w:type="paragraph" w:styleId="TtuloTDC">
    <w:name w:val="TOC Heading"/>
    <w:next w:val="Normal"/>
    <w:qFormat/>
    <w:pPr>
      <w:spacing w:before="240"/>
    </w:pPr>
    <w:rPr>
      <w:rFonts w:ascii="Calibri Light" w:eastAsia="Times New Roman" w:hAnsi="Calibri Light" w:cs="Times New Roman"/>
      <w:color w:val="2F5496"/>
      <w:sz w:val="32"/>
      <w:szCs w:val="32"/>
      <w:lang w:val="es-ES"/>
    </w:rPr>
  </w:style>
  <w:style w:type="numbering" w:customStyle="1" w:styleId="Sinlista4">
    <w:name w:val="Sin lista4"/>
    <w:next w:val="Sinlista"/>
    <w:qFormat/>
  </w:style>
  <w:style w:type="table" w:customStyle="1" w:styleId="Tablaconcuadrcula5">
    <w:name w:val="Tabla con cuadrícula5"/>
    <w:basedOn w:val="Tablanormal"/>
    <w:next w:val="Tablaconcuadrcula"/>
    <w:pPr>
      <w:suppressAutoHyphens/>
      <w:spacing w:line="1" w:lineRule="atLeast"/>
      <w:ind w:leftChars="-1" w:left="709" w:hangingChars="1" w:hanging="1"/>
      <w:jc w:val="both"/>
      <w:textDirection w:val="btLr"/>
      <w:textAlignment w:val="top"/>
      <w:outlineLvl w:val="0"/>
    </w:pPr>
    <w:rPr>
      <w:position w:val="-1"/>
      <w:lang w:val="es-E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1">
    <w:name w:val="Estilo11"/>
  </w:style>
  <w:style w:type="table" w:customStyle="1" w:styleId="TableNormala">
    <w:name w:val="Table Normal"/>
    <w:next w:val="TableNormal9"/>
    <w:pPr>
      <w:suppressAutoHyphens/>
      <w:spacing w:line="1" w:lineRule="atLeast"/>
      <w:ind w:leftChars="-1" w:left="-1" w:hangingChars="1" w:hanging="1"/>
      <w:textDirection w:val="btLr"/>
      <w:textAlignment w:val="top"/>
      <w:outlineLvl w:val="0"/>
    </w:pPr>
    <w:rPr>
      <w:position w:val="-1"/>
      <w:lang w:val="es-ES"/>
    </w:rPr>
    <w:tblPr>
      <w:tblCellMar>
        <w:top w:w="0" w:type="dxa"/>
        <w:left w:w="0" w:type="dxa"/>
        <w:bottom w:w="0" w:type="dxa"/>
        <w:right w:w="0" w:type="dxa"/>
      </w:tblCellMar>
    </w:tblPr>
  </w:style>
  <w:style w:type="numbering" w:customStyle="1" w:styleId="Sinlista12">
    <w:name w:val="Sin lista12"/>
    <w:next w:val="Sinlista"/>
    <w:qFormat/>
  </w:style>
  <w:style w:type="table" w:customStyle="1" w:styleId="Tablaconcuadrcula22">
    <w:name w:val="Tabla con cuadrícula22"/>
    <w:basedOn w:val="Tablanormal"/>
    <w:next w:val="Tablaconcuadrcula"/>
    <w:pPr>
      <w:suppressAutoHyphens/>
      <w:spacing w:line="1" w:lineRule="atLeast"/>
      <w:ind w:leftChars="-1" w:left="-1" w:hangingChars="1" w:hanging="1"/>
      <w:textDirection w:val="btLr"/>
      <w:textAlignment w:val="top"/>
      <w:outlineLvl w:val="0"/>
    </w:pPr>
    <w:rPr>
      <w:position w:val="-1"/>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qFormat/>
  </w:style>
  <w:style w:type="paragraph" w:customStyle="1" w:styleId="font5">
    <w:name w:val="font5"/>
    <w:basedOn w:val="Normal"/>
    <w:pPr>
      <w:suppressAutoHyphens/>
      <w:spacing w:before="100" w:beforeAutospacing="1" w:after="100" w:afterAutospacing="1" w:line="1" w:lineRule="atLeast"/>
      <w:ind w:leftChars="-1" w:left="-1" w:hangingChars="1" w:hanging="1"/>
      <w:textDirection w:val="btLr"/>
      <w:textAlignment w:val="top"/>
      <w:outlineLvl w:val="0"/>
    </w:pPr>
    <w:rPr>
      <w:rFonts w:ascii="Montserrat Light" w:eastAsia="Times New Roman" w:hAnsi="Montserrat Light"/>
      <w:position w:val="-1"/>
      <w:sz w:val="16"/>
      <w:szCs w:val="16"/>
      <w:lang w:val="es-MX"/>
    </w:rPr>
  </w:style>
  <w:style w:type="paragraph" w:customStyle="1" w:styleId="font6">
    <w:name w:val="font6"/>
    <w:basedOn w:val="Normal"/>
    <w:pPr>
      <w:suppressAutoHyphens/>
      <w:spacing w:before="100" w:beforeAutospacing="1" w:after="100" w:afterAutospacing="1" w:line="1" w:lineRule="atLeast"/>
      <w:ind w:leftChars="-1" w:left="-1" w:hangingChars="1" w:hanging="1"/>
      <w:textDirection w:val="btLr"/>
      <w:textAlignment w:val="top"/>
      <w:outlineLvl w:val="0"/>
    </w:pPr>
    <w:rPr>
      <w:rFonts w:ascii="Montserrat Light" w:eastAsia="Times New Roman" w:hAnsi="Montserrat Light"/>
      <w:color w:val="FFFF00"/>
      <w:position w:val="-1"/>
      <w:sz w:val="16"/>
      <w:szCs w:val="16"/>
      <w:lang w:val="es-MX"/>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hd w:val="clear" w:color="00B0F0" w:fill="FFFFFF"/>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8"/>
      <w:szCs w:val="18"/>
      <w:lang w:val="es-MX"/>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hd w:val="clear" w:color="00B0F0" w:fill="FFFFFF"/>
      <w:suppressAutoHyphens/>
      <w:spacing w:before="100" w:beforeAutospacing="1" w:after="100" w:afterAutospacing="1" w:line="1" w:lineRule="atLeast"/>
      <w:ind w:leftChars="-1" w:left="-1" w:hangingChars="1" w:hanging="1"/>
      <w:textDirection w:val="btLr"/>
      <w:textAlignment w:val="center"/>
      <w:outlineLvl w:val="0"/>
    </w:pPr>
    <w:rPr>
      <w:rFonts w:ascii="Montserrat Light" w:eastAsia="Times New Roman" w:hAnsi="Montserrat Light"/>
      <w:position w:val="-1"/>
      <w:sz w:val="18"/>
      <w:szCs w:val="18"/>
      <w:lang w:val="es-MX"/>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B0F0" w:fill="FFFFFF"/>
      <w:suppressAutoHyphens/>
      <w:spacing w:before="100" w:beforeAutospacing="1" w:after="100" w:afterAutospacing="1" w:line="1" w:lineRule="atLeast"/>
      <w:ind w:leftChars="-1" w:left="-1" w:hangingChars="1" w:hanging="1"/>
      <w:textDirection w:val="btLr"/>
      <w:textAlignment w:val="top"/>
      <w:outlineLvl w:val="0"/>
    </w:pPr>
    <w:rPr>
      <w:rFonts w:ascii="Montserrat Light" w:eastAsia="Times New Roman" w:hAnsi="Montserrat Light"/>
      <w:position w:val="-1"/>
      <w:sz w:val="18"/>
      <w:szCs w:val="18"/>
      <w:lang w:val="es-MX"/>
    </w:rPr>
  </w:style>
  <w:style w:type="paragraph" w:customStyle="1" w:styleId="xl93">
    <w:name w:val="xl93"/>
    <w:basedOn w:val="Normal"/>
    <w:pP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8"/>
      <w:szCs w:val="18"/>
      <w:lang w:val="es-MX"/>
    </w:rPr>
  </w:style>
  <w:style w:type="paragraph" w:customStyle="1" w:styleId="xl94">
    <w:name w:val="xl94"/>
    <w:basedOn w:val="Normal"/>
    <w:pPr>
      <w:pBdr>
        <w:left w:val="single" w:sz="4" w:space="0" w:color="000000"/>
      </w:pBd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color w:val="000000"/>
      <w:position w:val="-1"/>
      <w:lang w:val="es-MX"/>
    </w:rPr>
  </w:style>
  <w:style w:type="paragraph" w:customStyle="1" w:styleId="xl95">
    <w:name w:val="xl95"/>
    <w:basedOn w:val="Normal"/>
    <w:pP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color w:val="000000"/>
      <w:position w:val="-1"/>
      <w:lang w:val="es-MX"/>
    </w:rPr>
  </w:style>
  <w:style w:type="paragraph" w:customStyle="1" w:styleId="xl96">
    <w:name w:val="xl96"/>
    <w:basedOn w:val="Normal"/>
    <w:pPr>
      <w:pBdr>
        <w:bottom w:val="single" w:sz="4" w:space="0" w:color="000000"/>
      </w:pBdr>
      <w:shd w:val="clear" w:color="000000" w:fill="83E28E"/>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b/>
      <w:bCs/>
      <w:color w:val="000000"/>
      <w:position w:val="-1"/>
      <w:lang w:val="es-MX"/>
    </w:rPr>
  </w:style>
  <w:style w:type="paragraph" w:customStyle="1" w:styleId="xl97">
    <w:name w:val="xl97"/>
    <w:basedOn w:val="Normal"/>
    <w:pPr>
      <w:pBdr>
        <w:bottom w:val="single" w:sz="4" w:space="0" w:color="000000"/>
      </w:pBdr>
      <w:shd w:val="clear" w:color="000000" w:fill="F1A983"/>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b/>
      <w:bCs/>
      <w:color w:val="000000"/>
      <w:position w:val="-1"/>
      <w:lang w:val="es-MX"/>
    </w:rPr>
  </w:style>
  <w:style w:type="paragraph" w:customStyle="1" w:styleId="xl98">
    <w:name w:val="xl98"/>
    <w:basedOn w:val="Normal"/>
    <w:pPr>
      <w:pBdr>
        <w:left w:val="single" w:sz="4" w:space="0" w:color="000000"/>
      </w:pBd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lang w:val="es-MX"/>
    </w:rPr>
  </w:style>
  <w:style w:type="paragraph" w:customStyle="1" w:styleId="xl99">
    <w:name w:val="xl99"/>
    <w:basedOn w:val="Normal"/>
    <w:pPr>
      <w:shd w:val="clear" w:color="000000" w:fill="ADADAD"/>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lang w:val="es-MX"/>
    </w:rPr>
  </w:style>
  <w:style w:type="paragraph" w:customStyle="1" w:styleId="xl100">
    <w:name w:val="xl100"/>
    <w:basedOn w:val="Normal"/>
    <w:pPr>
      <w:pBdr>
        <w:top w:val="single" w:sz="4" w:space="0" w:color="000000"/>
        <w:left w:val="single" w:sz="4" w:space="0" w:color="000000"/>
        <w:bottom w:val="single" w:sz="4" w:space="0" w:color="000000"/>
      </w:pBdr>
      <w:suppressAutoHyphens/>
      <w:spacing w:before="100" w:beforeAutospacing="1" w:after="100" w:afterAutospacing="1" w:line="1" w:lineRule="atLeast"/>
      <w:ind w:leftChars="-1" w:left="-1" w:hangingChars="1" w:hanging="1"/>
      <w:jc w:val="center"/>
      <w:textDirection w:val="btLr"/>
      <w:textAlignment w:val="center"/>
      <w:outlineLvl w:val="0"/>
    </w:pPr>
    <w:rPr>
      <w:b/>
      <w:bCs/>
      <w:color w:val="000000"/>
      <w:position w:val="-1"/>
      <w:sz w:val="16"/>
      <w:szCs w:val="16"/>
      <w:lang w:val="es-MX"/>
    </w:rPr>
  </w:style>
  <w:style w:type="paragraph" w:customStyle="1" w:styleId="xl101">
    <w:name w:val="xl10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6"/>
      <w:szCs w:val="16"/>
      <w:lang w:val="es-MX"/>
    </w:rPr>
  </w:style>
  <w:style w:type="paragraph" w:customStyle="1" w:styleId="xl102">
    <w:name w:val="xl102"/>
    <w:basedOn w:val="Normal"/>
    <w:pPr>
      <w:pBdr>
        <w:top w:val="single" w:sz="4" w:space="0" w:color="auto"/>
        <w:left w:val="single" w:sz="4" w:space="0" w:color="auto"/>
        <w:bottom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6"/>
      <w:szCs w:val="16"/>
      <w:lang w:val="es-MX"/>
    </w:rPr>
  </w:style>
  <w:style w:type="paragraph" w:customStyle="1" w:styleId="xl103">
    <w:name w:val="xl10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6"/>
      <w:szCs w:val="16"/>
      <w:lang w:val="es-MX"/>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6"/>
      <w:szCs w:val="16"/>
      <w:lang w:val="es-MX"/>
    </w:rPr>
  </w:style>
  <w:style w:type="paragraph" w:customStyle="1" w:styleId="xl105">
    <w:name w:val="xl10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6"/>
      <w:szCs w:val="16"/>
      <w:lang w:val="es-MX"/>
    </w:rPr>
  </w:style>
  <w:style w:type="paragraph" w:customStyle="1" w:styleId="xl106">
    <w:name w:val="xl10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8"/>
      <w:szCs w:val="18"/>
      <w:lang w:val="es-MX"/>
    </w:rPr>
  </w:style>
  <w:style w:type="paragraph" w:customStyle="1" w:styleId="xl107">
    <w:name w:val="xl107"/>
    <w:basedOn w:val="Normal"/>
    <w:pPr>
      <w:pBdr>
        <w:top w:val="single" w:sz="4" w:space="0" w:color="auto"/>
        <w:left w:val="single" w:sz="4" w:space="0" w:color="auto"/>
        <w:bottom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Montserrat Light" w:eastAsia="Times New Roman" w:hAnsi="Montserrat Light"/>
      <w:position w:val="-1"/>
      <w:sz w:val="18"/>
      <w:szCs w:val="18"/>
      <w:lang w:val="es-MX"/>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position w:val="-1"/>
      <w:sz w:val="16"/>
      <w:szCs w:val="16"/>
      <w:lang w:val="es-MX"/>
    </w:rPr>
  </w:style>
  <w:style w:type="paragraph" w:customStyle="1" w:styleId="xl109">
    <w:name w:val="xl10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position w:val="-1"/>
      <w:sz w:val="18"/>
      <w:szCs w:val="18"/>
      <w:lang w:val="es-MX"/>
    </w:rPr>
  </w:style>
  <w:style w:type="paragraph" w:customStyle="1" w:styleId="xl110">
    <w:name w:val="xl110"/>
    <w:basedOn w:val="Normal"/>
    <w:pPr>
      <w:pBdr>
        <w:top w:val="single" w:sz="4" w:space="0" w:color="auto"/>
        <w:left w:val="single" w:sz="4" w:space="0" w:color="auto"/>
        <w:bottom w:val="single" w:sz="4" w:space="0" w:color="auto"/>
      </w:pBdr>
      <w:suppressAutoHyphens/>
      <w:spacing w:before="100" w:beforeAutospacing="1" w:after="100" w:afterAutospacing="1" w:line="1" w:lineRule="atLeast"/>
      <w:ind w:leftChars="-1" w:left="-1" w:hangingChars="1" w:hanging="1"/>
      <w:jc w:val="both"/>
      <w:textDirection w:val="btLr"/>
      <w:textAlignment w:val="center"/>
      <w:outlineLvl w:val="0"/>
    </w:pPr>
    <w:rPr>
      <w:rFonts w:ascii="Arial" w:eastAsia="Times New Roman" w:hAnsi="Arial" w:cs="Arial"/>
      <w:position w:val="-1"/>
      <w:sz w:val="16"/>
      <w:szCs w:val="16"/>
      <w:lang w:val="es-MX"/>
    </w:rPr>
  </w:style>
  <w:style w:type="paragraph" w:customStyle="1" w:styleId="xl111">
    <w:name w:val="xl11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8"/>
      <w:szCs w:val="18"/>
      <w:lang w:val="es-MX"/>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Arial" w:eastAsia="Times New Roman" w:hAnsi="Arial" w:cs="Arial"/>
      <w:color w:val="000000"/>
      <w:position w:val="-1"/>
      <w:sz w:val="18"/>
      <w:szCs w:val="18"/>
      <w:lang w:val="es-MX"/>
    </w:rPr>
  </w:style>
  <w:style w:type="paragraph" w:customStyle="1" w:styleId="xl113">
    <w:name w:val="xl11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Montserrat Light" w:eastAsia="Times New Roman" w:hAnsi="Montserrat Light"/>
      <w:color w:val="000000"/>
      <w:position w:val="-1"/>
      <w:sz w:val="18"/>
      <w:szCs w:val="18"/>
      <w:lang w:val="es-MX"/>
    </w:rPr>
  </w:style>
  <w:style w:type="paragraph" w:customStyle="1" w:styleId="TableParagraph">
    <w:name w:val="Table Paragraph"/>
    <w:basedOn w:val="Normal"/>
    <w:pPr>
      <w:widowControl w:val="0"/>
      <w:suppressAutoHyphens/>
      <w:autoSpaceDE w:val="0"/>
      <w:autoSpaceDN w:val="0"/>
      <w:spacing w:line="1" w:lineRule="atLeast"/>
      <w:ind w:leftChars="-1" w:left="-1" w:hangingChars="1" w:hanging="1"/>
      <w:textDirection w:val="btLr"/>
      <w:textAlignment w:val="top"/>
      <w:outlineLvl w:val="0"/>
    </w:pPr>
    <w:rPr>
      <w:rFonts w:ascii="Arial" w:eastAsia="Arial" w:hAnsi="Arial" w:cs="Arial"/>
      <w:position w:val="-1"/>
      <w:sz w:val="22"/>
      <w:szCs w:val="22"/>
      <w:lang w:val="en-US" w:eastAsia="en-US"/>
    </w:rPr>
  </w:style>
  <w:style w:type="table" w:customStyle="1" w:styleId="a">
    <w:basedOn w:val="TableNormala"/>
    <w:tblPr>
      <w:tblStyleRowBandSize w:val="1"/>
      <w:tblStyleColBandSize w:val="1"/>
      <w:tblCellMar>
        <w:left w:w="115" w:type="dxa"/>
        <w:right w:w="115" w:type="dxa"/>
      </w:tblCellMar>
    </w:tblPr>
  </w:style>
  <w:style w:type="table" w:customStyle="1" w:styleId="a0">
    <w:basedOn w:val="TableNormala"/>
    <w:tblPr>
      <w:tblStyleRowBandSize w:val="1"/>
      <w:tblStyleColBandSize w:val="1"/>
      <w:tblCellMar>
        <w:left w:w="108" w:type="dxa"/>
        <w:right w:w="108" w:type="dxa"/>
      </w:tblCellMar>
    </w:tblPr>
  </w:style>
  <w:style w:type="table" w:customStyle="1" w:styleId="a1">
    <w:basedOn w:val="TableNormala"/>
    <w:tblPr>
      <w:tblStyleRowBandSize w:val="1"/>
      <w:tblStyleColBandSize w:val="1"/>
      <w:tblCellMar>
        <w:left w:w="115" w:type="dxa"/>
        <w:right w:w="115" w:type="dxa"/>
      </w:tblCellMar>
    </w:tblPr>
  </w:style>
  <w:style w:type="table" w:customStyle="1" w:styleId="a2">
    <w:basedOn w:val="TableNormala"/>
    <w:tblPr>
      <w:tblStyleRowBandSize w:val="1"/>
      <w:tblStyleColBandSize w:val="1"/>
      <w:tblCellMar>
        <w:left w:w="115" w:type="dxa"/>
        <w:right w:w="115" w:type="dxa"/>
      </w:tblCellMar>
    </w:tblPr>
  </w:style>
  <w:style w:type="table" w:customStyle="1" w:styleId="a3">
    <w:basedOn w:val="TableNormala"/>
    <w:tblPr>
      <w:tblStyleRowBandSize w:val="1"/>
      <w:tblStyleColBandSize w:val="1"/>
      <w:tblCellMar>
        <w:left w:w="108" w:type="dxa"/>
        <w:right w:w="108" w:type="dxa"/>
      </w:tblCellMar>
    </w:tblPr>
  </w:style>
  <w:style w:type="table" w:customStyle="1" w:styleId="a4">
    <w:basedOn w:val="TableNormala"/>
    <w:tblPr>
      <w:tblStyleRowBandSize w:val="1"/>
      <w:tblStyleColBandSize w:val="1"/>
      <w:tblCellMar>
        <w:left w:w="115" w:type="dxa"/>
        <w:right w:w="115" w:type="dxa"/>
      </w:tblCellMar>
    </w:tblPr>
  </w:style>
  <w:style w:type="paragraph" w:styleId="Prrafodelista">
    <w:name w:val="List Paragraph"/>
    <w:basedOn w:val="Normal"/>
    <w:uiPriority w:val="34"/>
    <w:qFormat/>
    <w:rsid w:val="0034174A"/>
    <w:pPr>
      <w:ind w:left="720"/>
      <w:contextualSpacing/>
    </w:pPr>
  </w:style>
  <w:style w:type="table" w:customStyle="1" w:styleId="a5">
    <w:basedOn w:val="TableNormal8"/>
    <w:pPr>
      <w:ind w:hanging="1"/>
    </w:pPr>
    <w:tblPr>
      <w:tblStyleRowBandSize w:val="1"/>
      <w:tblStyleColBandSize w:val="1"/>
      <w:tblCellMar>
        <w:left w:w="115" w:type="dxa"/>
        <w:right w:w="115" w:type="dxa"/>
      </w:tblCellMar>
    </w:tblPr>
  </w:style>
  <w:style w:type="table" w:customStyle="1" w:styleId="a6">
    <w:basedOn w:val="TableNormal8"/>
    <w:pPr>
      <w:ind w:hanging="1"/>
    </w:pPr>
    <w:tblPr>
      <w:tblStyleRowBandSize w:val="1"/>
      <w:tblStyleColBandSize w:val="1"/>
      <w:tblCellMar>
        <w:left w:w="108" w:type="dxa"/>
        <w:right w:w="108" w:type="dxa"/>
      </w:tblCellMar>
    </w:tblPr>
  </w:style>
  <w:style w:type="table" w:customStyle="1" w:styleId="a7">
    <w:basedOn w:val="TableNormal8"/>
    <w:pPr>
      <w:ind w:hanging="1"/>
    </w:pPr>
    <w:tblPr>
      <w:tblStyleRowBandSize w:val="1"/>
      <w:tblStyleColBandSize w:val="1"/>
      <w:tblCellMar>
        <w:left w:w="115" w:type="dxa"/>
        <w:right w:w="115" w:type="dxa"/>
      </w:tblCellMar>
    </w:tblPr>
  </w:style>
  <w:style w:type="table" w:customStyle="1" w:styleId="a8">
    <w:basedOn w:val="TableNormal7"/>
    <w:pPr>
      <w:ind w:hanging="1"/>
    </w:pPr>
    <w:tblPr>
      <w:tblStyleRowBandSize w:val="1"/>
      <w:tblStyleColBandSize w:val="1"/>
      <w:tblCellMar>
        <w:left w:w="115" w:type="dxa"/>
        <w:right w:w="115" w:type="dxa"/>
      </w:tblCellMar>
    </w:tblPr>
  </w:style>
  <w:style w:type="table" w:customStyle="1" w:styleId="a9">
    <w:basedOn w:val="TableNormal7"/>
    <w:pPr>
      <w:ind w:hanging="1"/>
    </w:pPr>
    <w:tblPr>
      <w:tblStyleRowBandSize w:val="1"/>
      <w:tblStyleColBandSize w:val="1"/>
      <w:tblCellMar>
        <w:left w:w="108" w:type="dxa"/>
        <w:right w:w="108" w:type="dxa"/>
      </w:tblCellMar>
    </w:tblPr>
  </w:style>
  <w:style w:type="table" w:customStyle="1" w:styleId="aa">
    <w:basedOn w:val="TableNormal7"/>
    <w:pPr>
      <w:ind w:hanging="1"/>
    </w:pPr>
    <w:tblPr>
      <w:tblStyleRowBandSize w:val="1"/>
      <w:tblStyleColBandSize w:val="1"/>
      <w:tblCellMar>
        <w:left w:w="115" w:type="dxa"/>
        <w:right w:w="115" w:type="dxa"/>
      </w:tblCellMar>
    </w:tblPr>
  </w:style>
  <w:style w:type="table" w:customStyle="1" w:styleId="ab">
    <w:basedOn w:val="TableNormal7"/>
    <w:pPr>
      <w:ind w:hanging="1"/>
    </w:pPr>
    <w:tblPr>
      <w:tblStyleRowBandSize w:val="1"/>
      <w:tblStyleColBandSize w:val="1"/>
      <w:tblCellMar>
        <w:left w:w="115" w:type="dxa"/>
        <w:right w:w="115" w:type="dxa"/>
      </w:tblCellMar>
    </w:tblPr>
  </w:style>
  <w:style w:type="table" w:customStyle="1" w:styleId="ac">
    <w:basedOn w:val="TableNormal7"/>
    <w:pPr>
      <w:ind w:hanging="1"/>
    </w:pPr>
    <w:tblPr>
      <w:tblStyleRowBandSize w:val="1"/>
      <w:tblStyleColBandSize w:val="1"/>
      <w:tblCellMar>
        <w:left w:w="108" w:type="dxa"/>
        <w:right w:w="108" w:type="dxa"/>
      </w:tblCellMar>
    </w:tblPr>
  </w:style>
  <w:style w:type="table" w:customStyle="1" w:styleId="ad">
    <w:basedOn w:val="TableNormal7"/>
    <w:pPr>
      <w:ind w:hanging="1"/>
    </w:pPr>
    <w:tblPr>
      <w:tblStyleRowBandSize w:val="1"/>
      <w:tblStyleColBandSize w:val="1"/>
      <w:tblCellMar>
        <w:left w:w="115" w:type="dxa"/>
        <w:right w:w="115" w:type="dxa"/>
      </w:tblCellMar>
    </w:tblPr>
  </w:style>
  <w:style w:type="table" w:customStyle="1" w:styleId="ae">
    <w:basedOn w:val="TableNormal7"/>
    <w:pPr>
      <w:ind w:hanging="1"/>
    </w:pPr>
    <w:tblPr>
      <w:tblStyleRowBandSize w:val="1"/>
      <w:tblStyleColBandSize w:val="1"/>
      <w:tblCellMar>
        <w:left w:w="115" w:type="dxa"/>
        <w:right w:w="115" w:type="dxa"/>
      </w:tblCellMar>
    </w:tblPr>
  </w:style>
  <w:style w:type="table" w:customStyle="1" w:styleId="af">
    <w:basedOn w:val="TableNormal7"/>
    <w:pPr>
      <w:ind w:hanging="1"/>
    </w:pPr>
    <w:tblPr>
      <w:tblStyleRowBandSize w:val="1"/>
      <w:tblStyleColBandSize w:val="1"/>
      <w:tblCellMar>
        <w:left w:w="108" w:type="dxa"/>
        <w:right w:w="108" w:type="dxa"/>
      </w:tblCellMar>
    </w:tblPr>
  </w:style>
  <w:style w:type="table" w:customStyle="1" w:styleId="af0">
    <w:basedOn w:val="TableNormal7"/>
    <w:pPr>
      <w:ind w:hanging="1"/>
    </w:pPr>
    <w:tblPr>
      <w:tblStyleRowBandSize w:val="1"/>
      <w:tblStyleColBandSize w:val="1"/>
      <w:tblCellMar>
        <w:left w:w="115" w:type="dxa"/>
        <w:right w:w="115" w:type="dxa"/>
      </w:tblCellMar>
    </w:tblPr>
  </w:style>
  <w:style w:type="table" w:customStyle="1" w:styleId="af1">
    <w:basedOn w:val="TableNormal7"/>
    <w:pPr>
      <w:ind w:hanging="1"/>
    </w:pPr>
    <w:tblPr>
      <w:tblStyleRowBandSize w:val="1"/>
      <w:tblStyleColBandSize w:val="1"/>
      <w:tblCellMar>
        <w:left w:w="115" w:type="dxa"/>
        <w:right w:w="115" w:type="dxa"/>
      </w:tblCellMar>
    </w:tblPr>
  </w:style>
  <w:style w:type="table" w:customStyle="1" w:styleId="af2">
    <w:basedOn w:val="TableNormal7"/>
    <w:pPr>
      <w:ind w:hanging="1"/>
    </w:pPr>
    <w:tblPr>
      <w:tblStyleRowBandSize w:val="1"/>
      <w:tblStyleColBandSize w:val="1"/>
      <w:tblCellMar>
        <w:left w:w="108" w:type="dxa"/>
        <w:right w:w="108" w:type="dxa"/>
      </w:tblCellMar>
    </w:tblPr>
  </w:style>
  <w:style w:type="table" w:customStyle="1" w:styleId="af3">
    <w:basedOn w:val="TableNormal7"/>
    <w:pPr>
      <w:ind w:hanging="1"/>
    </w:pPr>
    <w:tblPr>
      <w:tblStyleRowBandSize w:val="1"/>
      <w:tblStyleColBandSize w:val="1"/>
      <w:tblCellMar>
        <w:left w:w="115" w:type="dxa"/>
        <w:right w:w="115" w:type="dxa"/>
      </w:tblCellMar>
    </w:tblPr>
  </w:style>
  <w:style w:type="table" w:customStyle="1" w:styleId="af4">
    <w:basedOn w:val="TableNormal3"/>
    <w:pPr>
      <w:ind w:hanging="1"/>
    </w:pPr>
    <w:tblPr>
      <w:tblStyleRowBandSize w:val="1"/>
      <w:tblStyleColBandSize w:val="1"/>
      <w:tblCellMar>
        <w:left w:w="115" w:type="dxa"/>
        <w:right w:w="115" w:type="dxa"/>
      </w:tblCellMar>
    </w:tblPr>
  </w:style>
  <w:style w:type="table" w:customStyle="1" w:styleId="af5">
    <w:basedOn w:val="TableNormal3"/>
    <w:pPr>
      <w:ind w:hanging="1"/>
    </w:pPr>
    <w:tblPr>
      <w:tblStyleRowBandSize w:val="1"/>
      <w:tblStyleColBandSize w:val="1"/>
      <w:tblCellMar>
        <w:left w:w="108" w:type="dxa"/>
        <w:right w:w="108" w:type="dxa"/>
      </w:tblCellMar>
    </w:tblPr>
  </w:style>
  <w:style w:type="table" w:customStyle="1" w:styleId="af6">
    <w:basedOn w:val="TableNormal3"/>
    <w:pPr>
      <w:ind w:hanging="1"/>
    </w:pPr>
    <w:tblPr>
      <w:tblStyleRowBandSize w:val="1"/>
      <w:tblStyleColBandSize w:val="1"/>
      <w:tblCellMar>
        <w:left w:w="115" w:type="dxa"/>
        <w:right w:w="115" w:type="dxa"/>
      </w:tblCellMar>
    </w:tblPr>
  </w:style>
  <w:style w:type="table" w:customStyle="1" w:styleId="af7">
    <w:basedOn w:val="TableNormal3"/>
    <w:pPr>
      <w:ind w:hanging="1"/>
    </w:pPr>
    <w:tblPr>
      <w:tblStyleRowBandSize w:val="1"/>
      <w:tblStyleColBandSize w:val="1"/>
      <w:tblCellMar>
        <w:left w:w="115" w:type="dxa"/>
        <w:right w:w="115" w:type="dxa"/>
      </w:tblCellMar>
    </w:tblPr>
  </w:style>
  <w:style w:type="table" w:customStyle="1" w:styleId="af8">
    <w:basedOn w:val="TableNormal3"/>
    <w:pPr>
      <w:ind w:hanging="1"/>
    </w:pPr>
    <w:tblPr>
      <w:tblStyleRowBandSize w:val="1"/>
      <w:tblStyleColBandSize w:val="1"/>
      <w:tblCellMar>
        <w:left w:w="108" w:type="dxa"/>
        <w:right w:w="108" w:type="dxa"/>
      </w:tblCellMar>
    </w:tblPr>
  </w:style>
  <w:style w:type="table" w:customStyle="1" w:styleId="af9">
    <w:basedOn w:val="TableNormal3"/>
    <w:pPr>
      <w:ind w:hanging="1"/>
    </w:pPr>
    <w:tblPr>
      <w:tblStyleRowBandSize w:val="1"/>
      <w:tblStyleColBandSize w:val="1"/>
      <w:tblCellMar>
        <w:left w:w="115" w:type="dxa"/>
        <w:right w:w="115" w:type="dxa"/>
      </w:tblCellMar>
    </w:tblPr>
  </w:style>
  <w:style w:type="table" w:customStyle="1" w:styleId="afa">
    <w:basedOn w:val="TableNormal3"/>
    <w:tblPr>
      <w:tblStyleRowBandSize w:val="1"/>
      <w:tblStyleColBandSize w:val="1"/>
      <w:tblCellMar>
        <w:left w:w="115" w:type="dxa"/>
        <w:right w:w="115" w:type="dxa"/>
      </w:tblCellMar>
    </w:tblPr>
  </w:style>
  <w:style w:type="table" w:customStyle="1" w:styleId="afb">
    <w:basedOn w:val="TableNormal3"/>
    <w:tblPr>
      <w:tblStyleRowBandSize w:val="1"/>
      <w:tblStyleColBandSize w:val="1"/>
      <w:tblCellMar>
        <w:top w:w="100" w:type="dxa"/>
        <w:left w:w="100" w:type="dxa"/>
        <w:bottom w:w="100" w:type="dxa"/>
        <w:right w:w="100" w:type="dxa"/>
      </w:tblCellMar>
    </w:tblPr>
  </w:style>
  <w:style w:type="table" w:customStyle="1" w:styleId="afc">
    <w:basedOn w:val="TableNormal3"/>
    <w:tblPr>
      <w:tblStyleRowBandSize w:val="1"/>
      <w:tblStyleColBandSize w:val="1"/>
      <w:tblCellMar>
        <w:left w:w="115" w:type="dxa"/>
        <w:right w:w="115" w:type="dxa"/>
      </w:tblCellMar>
    </w:tblPr>
  </w:style>
  <w:style w:type="table" w:customStyle="1" w:styleId="afd">
    <w:basedOn w:val="TableNormal3"/>
    <w:pPr>
      <w:ind w:hanging="1"/>
    </w:pPr>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CellMar>
        <w:top w:w="0" w:type="dxa"/>
        <w:left w:w="115" w:type="dxa"/>
        <w:bottom w:w="0" w:type="dxa"/>
        <w:right w:w="115" w:type="dxa"/>
      </w:tblCellMar>
    </w:tblPr>
  </w:style>
  <w:style w:type="table" w:customStyle="1" w:styleId="aff1">
    <w:basedOn w:val="TableNormal0"/>
    <w:pPr>
      <w:ind w:hanging="1"/>
    </w:pPr>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document/d/1ktLLSvbU2hMw2T4HBFWk6MSHueSNmTdB/edi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docs.google.com/document/d/1ktLLSvbU2hMw2T4HBFWk6MSHueSNmTdB/edit" TargetMode="External"/><Relationship Id="rId4" Type="http://schemas.openxmlformats.org/officeDocument/2006/relationships/settings" Target="settings.xml"/><Relationship Id="rId9" Type="http://schemas.openxmlformats.org/officeDocument/2006/relationships/hyperlink" Target="https://docs.google.com/document/d/1ktLLSvbU2hMw2T4HBFWk6MSHueSNmTdB/edit"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NeUnhI222vur8QiCx0iBktDI4w==">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16</Pages>
  <Words>4583</Words>
  <Characters>25207</Characters>
  <Application>Microsoft Office Word</Application>
  <DocSecurity>0</DocSecurity>
  <Lines>210</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Mireya Hernandez Monter</dc:creator>
  <cp:lastModifiedBy>Jonathan Leon Anaya</cp:lastModifiedBy>
  <cp:revision>6</cp:revision>
  <dcterms:created xsi:type="dcterms:W3CDTF">2025-11-17T18:08:00Z</dcterms:created>
  <dcterms:modified xsi:type="dcterms:W3CDTF">2025-11-18T20:10:00Z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0x0101002AF89E8B0653DE448355C82C2913AA26</vt:lpwstr>
  </property>
</Properties>
</file>